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3643C" w14:textId="77777777" w:rsidR="00E40302" w:rsidRPr="00C21353" w:rsidRDefault="00E40302" w:rsidP="00E40302">
      <w:pPr>
        <w:pStyle w:val="Textoindependiente"/>
        <w:ind w:left="720" w:firstLine="720"/>
        <w:jc w:val="right"/>
        <w:rPr>
          <w:b/>
          <w:bCs/>
          <w:u w:val="single"/>
          <w:lang w:val="es-ES"/>
        </w:rPr>
      </w:pPr>
    </w:p>
    <w:p w14:paraId="1C191F80" w14:textId="278D0FF1" w:rsidR="00E40302" w:rsidRPr="00C21353" w:rsidRDefault="00E40302" w:rsidP="00E40302">
      <w:pPr>
        <w:pStyle w:val="Textoindependiente"/>
        <w:jc w:val="center"/>
        <w:rPr>
          <w:b/>
          <w:lang w:val="es-ES"/>
        </w:rPr>
      </w:pPr>
      <w:r w:rsidRPr="00C21353">
        <w:rPr>
          <w:b/>
          <w:lang w:val="es-ES"/>
        </w:rPr>
        <w:t xml:space="preserve">CONTRATO DE NOVACIÓN MODIFICATIVA DEL ANEXO III DEL CONTRATO MARCO DE OPERACIONES FINANCIERAS PARA </w:t>
      </w:r>
      <w:r w:rsidR="00866F3D">
        <w:rPr>
          <w:b/>
          <w:lang w:val="es-ES"/>
        </w:rPr>
        <w:t>LA MODIFICACIÓN O SUSTITUCIÓN DE LAS REFERENCIAS AL TIPO DE INTERÉS EONIA</w:t>
      </w:r>
      <w:r w:rsidR="00866F3D" w:rsidRPr="00C21353">
        <w:rPr>
          <w:b/>
          <w:lang w:val="es-ES"/>
        </w:rPr>
        <w:t xml:space="preserve"> </w:t>
      </w:r>
    </w:p>
    <w:p w14:paraId="0ADA32D7" w14:textId="77777777" w:rsidR="00E40302" w:rsidRPr="00C21353" w:rsidRDefault="00E40302" w:rsidP="00E40302">
      <w:pPr>
        <w:pStyle w:val="c2"/>
        <w:tabs>
          <w:tab w:val="left" w:pos="8540"/>
        </w:tabs>
        <w:spacing w:after="240" w:line="240" w:lineRule="auto"/>
        <w:jc w:val="both"/>
        <w:rPr>
          <w:rFonts w:ascii="Times New Roman" w:hAnsi="Times New Roman"/>
          <w:szCs w:val="24"/>
          <w:lang w:val="es-ES"/>
        </w:rPr>
      </w:pPr>
      <w:r w:rsidRPr="00C21353">
        <w:rPr>
          <w:rFonts w:ascii="Times New Roman" w:hAnsi="Times New Roman"/>
          <w:noProof/>
          <w:szCs w:val="24"/>
          <w:lang w:val="es-ES"/>
        </w:rPr>
        <mc:AlternateContent>
          <mc:Choice Requires="wps">
            <w:drawing>
              <wp:anchor distT="0" distB="0" distL="114300" distR="114300" simplePos="0" relativeHeight="251659264" behindDoc="0" locked="0" layoutInCell="0" allowOverlap="1" wp14:anchorId="509F8786" wp14:editId="131F09C8">
                <wp:simplePos x="0" y="0"/>
                <wp:positionH relativeFrom="column">
                  <wp:posOffset>0</wp:posOffset>
                </wp:positionH>
                <wp:positionV relativeFrom="paragraph">
                  <wp:posOffset>96520</wp:posOffset>
                </wp:positionV>
                <wp:extent cx="6035675" cy="635"/>
                <wp:effectExtent l="19050" t="20320" r="1270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635"/>
                        </a:xfrm>
                        <a:prstGeom prst="line">
                          <a:avLst/>
                        </a:prstGeom>
                        <a:noFill/>
                        <a:ln w="2540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43F4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75.25pt,7.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TZ0QzQEAAHoDAAAOAAAAZHJzL2Uyb0RvYy54bWysU02P0zAQvSPxHyzfadIuLShquoeW5bJA pS4/YGo7iYXtsWy3af89Y/cDFm4IRbLsmTfPb944y8eTNeyoQtToWj6d1JwpJ1Bq17f8+8vTu4+c xQROgkGnWn5WkT+u3r5Zjr5RMxzQSBUYkbjYjL7lQ0q+qaooBmUhTtArR8kOg4VEx9BXMsBI7NZU s7peVCMG6QMKFSNFN5ckXxX+rlMifeu6qBIzLSdtqayhrPu8VqslNH0AP2hxlQH/oMKCdnTpnWoD Cdgh6L+orBYBI3ZpItBW2HVaqNIDdTOt/+hmN4BXpRcyJ/q7TfH/0Yqvx21gWtLsOHNgaUS7FED3 Q2JrdI4MxMCm2afRx4bga7cNuVNxcjv/jOJHZA7XA7heFb0vZ08kpaJ6VZIP0dNt+/ELSsLAIWEx 7dQFmynJDnYqsznfZ6NOiQkKLuqH+eLDnDNBucXDPCuqoLmV+hDTZ4WW5U3LjXbZOGjg+BzTBXqD 5LDDJ21MGb5xbGz5bP6+rktFRKNlzmZcDP1+bQI7Qn4/m/xdL34FC3hwsrANCuSn6z6BNpc9CTWO 9N4suJi5R3nehiwux2nApaPrY8wv6PdzQf36ZVY/AQAA//8DAFBLAwQUAAYACAAAACEAx7sFmN0A AAAGAQAADwAAAGRycy9kb3ducmV2LnhtbEyPQU/CQBCF7yb+h82YeCGyBYVo7ZYosRfDBSQm3obu 2DZ0Z5vuQuu/dzjpcd6bvPe9bDW6Vp2pD41nA7NpAoq49LbhysD+o7h7BBUissXWMxn4oQCr/Poq w9T6gbd03sVKSQiHFA3UMXap1qGsyWGY+o5YvG/fO4xy9pW2PQ4S7lo9T5KldtiwNNTY0bqm8rg7 OeldbuzsYTJgsX4tJtv3t+PX57A35vZmfHkGFWmMf89wwRd0yIXp4E9sg2oNyJAo6mIOStynRbIA dbgI96DzTP/Hz38BAAD//wMAUEsBAi0AFAAGAAgAAAAhALaDOJL+AAAA4QEAABMAAAAAAAAAAAAA AAAAAAAAAFtDb250ZW50X1R5cGVzXS54bWxQSwECLQAUAAYACAAAACEAOP0h/9YAAACUAQAACwAA AAAAAAAAAAAAAAAvAQAAX3JlbHMvLnJlbHNQSwECLQAUAAYACAAAACEAnE2dEM0BAAB6AwAADgAA AAAAAAAAAAAAAAAuAgAAZHJzL2Uyb0RvYy54bWxQSwECLQAUAAYACAAAACEAx7sFmN0AAAAGAQAA DwAAAAAAAAAAAAAAAAAnBAAAZHJzL2Rvd25yZXYueG1sUEsFBgAAAAAEAAQA8wAAADEFAAAAAA== " o:allowincell="f" strokecolor="#0d0d0d" strokeweight="2pt"/>
            </w:pict>
          </mc:Fallback>
        </mc:AlternateContent>
      </w:r>
    </w:p>
    <w:p w14:paraId="66D6F5EC" w14:textId="5C9B6881" w:rsidR="00E40302" w:rsidRPr="00C21353" w:rsidRDefault="00E40302" w:rsidP="00E40302">
      <w:pPr>
        <w:pStyle w:val="c2"/>
        <w:tabs>
          <w:tab w:val="left" w:pos="8540"/>
        </w:tabs>
        <w:spacing w:after="240" w:line="240" w:lineRule="auto"/>
        <w:jc w:val="both"/>
        <w:rPr>
          <w:rFonts w:ascii="Times New Roman" w:hAnsi="Times New Roman"/>
          <w:szCs w:val="24"/>
          <w:lang w:val="es-ES"/>
        </w:rPr>
      </w:pPr>
      <w:r w:rsidRPr="00C21353">
        <w:rPr>
          <w:rFonts w:ascii="Times New Roman" w:hAnsi="Times New Roman"/>
          <w:szCs w:val="24"/>
          <w:lang w:val="es-ES"/>
        </w:rPr>
        <w:tab/>
      </w:r>
    </w:p>
    <w:p w14:paraId="01F3E5F3" w14:textId="77777777" w:rsidR="00481AEF" w:rsidRPr="00D0151A" w:rsidRDefault="00481AEF" w:rsidP="00481AEF">
      <w:pPr>
        <w:pStyle w:val="c2"/>
        <w:tabs>
          <w:tab w:val="left" w:pos="8540"/>
        </w:tabs>
        <w:spacing w:after="240" w:line="240" w:lineRule="auto"/>
        <w:jc w:val="both"/>
        <w:rPr>
          <w:rFonts w:ascii="Cambria" w:hAnsi="Cambria"/>
          <w:sz w:val="22"/>
          <w:szCs w:val="22"/>
        </w:rPr>
      </w:pPr>
      <w:permStart w:id="2019560811" w:edGrp="everyone"/>
      <w:r w:rsidRPr="00D0151A">
        <w:rPr>
          <w:rFonts w:ascii="Cambria" w:hAnsi="Cambria"/>
          <w:sz w:val="22"/>
          <w:szCs w:val="22"/>
        </w:rPr>
        <w:t xml:space="preserve">En     , a      . de      . de      </w:t>
      </w:r>
      <w:permEnd w:id="2019560811"/>
      <w:r w:rsidRPr="00D0151A">
        <w:rPr>
          <w:rFonts w:ascii="Cambria" w:hAnsi="Cambria"/>
          <w:sz w:val="22"/>
          <w:szCs w:val="22"/>
        </w:rPr>
        <w:t>.</w:t>
      </w:r>
    </w:p>
    <w:p w14:paraId="75E06F5B" w14:textId="6D041E87" w:rsidR="00E40302" w:rsidRPr="00C21353" w:rsidRDefault="00E40302" w:rsidP="001602A8">
      <w:pPr>
        <w:pStyle w:val="c2"/>
        <w:tabs>
          <w:tab w:val="left" w:pos="8540"/>
        </w:tabs>
        <w:spacing w:after="240" w:line="240" w:lineRule="auto"/>
        <w:rPr>
          <w:rFonts w:ascii="Cambria" w:hAnsi="Cambria"/>
          <w:sz w:val="22"/>
          <w:szCs w:val="22"/>
          <w:lang w:val="es-ES"/>
        </w:rPr>
      </w:pPr>
      <w:r w:rsidRPr="00C21353">
        <w:rPr>
          <w:rFonts w:ascii="Cambria" w:hAnsi="Cambria"/>
          <w:b/>
          <w:sz w:val="22"/>
          <w:szCs w:val="22"/>
          <w:lang w:val="es-ES"/>
        </w:rPr>
        <w:t>INTERVIENEN</w:t>
      </w:r>
    </w:p>
    <w:p w14:paraId="4270B8FE" w14:textId="77777777" w:rsidR="007C447C" w:rsidRPr="00D0151A" w:rsidRDefault="007C447C" w:rsidP="007C447C">
      <w:pPr>
        <w:pStyle w:val="c2"/>
        <w:tabs>
          <w:tab w:val="left" w:pos="8540"/>
        </w:tabs>
        <w:spacing w:after="240" w:line="240" w:lineRule="auto"/>
        <w:jc w:val="both"/>
        <w:rPr>
          <w:rFonts w:ascii="Cambria" w:hAnsi="Cambria"/>
          <w:b/>
          <w:sz w:val="22"/>
          <w:szCs w:val="22"/>
        </w:rPr>
      </w:pPr>
      <w:r w:rsidRPr="00D0151A">
        <w:rPr>
          <w:rFonts w:ascii="Cambria" w:hAnsi="Cambria"/>
          <w:b/>
          <w:sz w:val="22"/>
          <w:szCs w:val="22"/>
        </w:rPr>
        <w:t>DE UNA PARTE:</w:t>
      </w:r>
    </w:p>
    <w:p w14:paraId="7975B226" w14:textId="272649D7" w:rsidR="007C447C" w:rsidRPr="00D0151A" w:rsidRDefault="007C447C" w:rsidP="007C447C">
      <w:pPr>
        <w:pStyle w:val="Sangradetextonormal"/>
        <w:spacing w:after="240"/>
        <w:rPr>
          <w:rFonts w:ascii="Cambria" w:hAnsi="Cambria"/>
          <w:sz w:val="22"/>
          <w:szCs w:val="22"/>
          <w:lang w:val="es-ES"/>
        </w:rPr>
      </w:pPr>
      <w:permStart w:id="849689204" w:edGrp="everyone"/>
      <w:r w:rsidRPr="00D0151A">
        <w:rPr>
          <w:rFonts w:ascii="Cambria" w:hAnsi="Cambria"/>
          <w:sz w:val="22"/>
          <w:szCs w:val="22"/>
          <w:lang w:val="es-ES"/>
        </w:rPr>
        <w:t xml:space="preserve">     , con domicilio social, Calle      ., </w:t>
      </w:r>
      <w:proofErr w:type="spellStart"/>
      <w:r w:rsidRPr="00D0151A">
        <w:rPr>
          <w:rFonts w:ascii="Cambria" w:hAnsi="Cambria"/>
          <w:sz w:val="22"/>
          <w:szCs w:val="22"/>
          <w:lang w:val="es-ES"/>
        </w:rPr>
        <w:t>Nº</w:t>
      </w:r>
      <w:proofErr w:type="spellEnd"/>
      <w:r w:rsidRPr="00D0151A">
        <w:rPr>
          <w:rFonts w:ascii="Cambria" w:hAnsi="Cambria"/>
          <w:sz w:val="22"/>
          <w:szCs w:val="22"/>
          <w:lang w:val="es-ES"/>
        </w:rPr>
        <w:t xml:space="preserve">    .,             (     ) con C.I.F.      , representada en este acto por D.      , con D.N.I. núm.</w:t>
      </w:r>
      <w:r w:rsidR="00E06BD8">
        <w:rPr>
          <w:rFonts w:ascii="Cambria" w:hAnsi="Cambria"/>
          <w:sz w:val="22"/>
          <w:szCs w:val="22"/>
          <w:lang w:val="es-ES"/>
        </w:rPr>
        <w:t xml:space="preserve"> </w:t>
      </w:r>
      <w:r w:rsidRPr="00D0151A">
        <w:rPr>
          <w:rFonts w:ascii="Cambria" w:hAnsi="Cambria"/>
          <w:sz w:val="22"/>
          <w:szCs w:val="22"/>
          <w:lang w:val="es-ES"/>
        </w:rPr>
        <w:t xml:space="preserve">      , en virtud de su condición de        cargo que ostenta en virtud de escritura pública otorgada en      , el día      de</w:t>
      </w:r>
      <w:r w:rsidR="00E06BD8">
        <w:rPr>
          <w:rFonts w:ascii="Cambria" w:hAnsi="Cambria"/>
          <w:sz w:val="22"/>
          <w:szCs w:val="22"/>
          <w:lang w:val="es-ES"/>
        </w:rPr>
        <w:t xml:space="preserve"> </w:t>
      </w:r>
      <w:r w:rsidRPr="00D0151A">
        <w:rPr>
          <w:rFonts w:ascii="Cambria" w:hAnsi="Cambria"/>
          <w:sz w:val="22"/>
          <w:szCs w:val="22"/>
          <w:lang w:val="es-ES"/>
        </w:rPr>
        <w:t xml:space="preserve">      </w:t>
      </w:r>
      <w:proofErr w:type="spellStart"/>
      <w:r w:rsidRPr="00D0151A">
        <w:rPr>
          <w:rFonts w:ascii="Cambria" w:hAnsi="Cambria"/>
          <w:sz w:val="22"/>
          <w:szCs w:val="22"/>
          <w:lang w:val="es-ES"/>
        </w:rPr>
        <w:t>de</w:t>
      </w:r>
      <w:proofErr w:type="spellEnd"/>
      <w:r w:rsidRPr="00D0151A">
        <w:rPr>
          <w:rFonts w:ascii="Cambria" w:hAnsi="Cambria"/>
          <w:sz w:val="22"/>
          <w:szCs w:val="22"/>
          <w:lang w:val="es-ES"/>
        </w:rPr>
        <w:t xml:space="preserve">      , ante el Notario Don      , con el número de su protocolo          </w:t>
      </w:r>
      <w:permEnd w:id="849689204"/>
      <w:r w:rsidRPr="00D0151A">
        <w:rPr>
          <w:rFonts w:ascii="Cambria" w:hAnsi="Cambria"/>
          <w:sz w:val="22"/>
          <w:szCs w:val="22"/>
          <w:lang w:val="es-ES"/>
        </w:rPr>
        <w:t>; y</w:t>
      </w:r>
    </w:p>
    <w:p w14:paraId="33405FC1" w14:textId="77777777" w:rsidR="007C447C" w:rsidRPr="00D0151A" w:rsidRDefault="007C447C" w:rsidP="007C447C">
      <w:pPr>
        <w:pStyle w:val="c2"/>
        <w:tabs>
          <w:tab w:val="left" w:pos="8540"/>
        </w:tabs>
        <w:spacing w:after="240" w:line="240" w:lineRule="auto"/>
        <w:jc w:val="both"/>
        <w:rPr>
          <w:rFonts w:ascii="Cambria" w:hAnsi="Cambria"/>
          <w:sz w:val="22"/>
          <w:szCs w:val="22"/>
          <w:lang w:val="es-ES"/>
        </w:rPr>
      </w:pPr>
    </w:p>
    <w:p w14:paraId="508BD2D9" w14:textId="77777777" w:rsidR="007C447C" w:rsidRPr="00D0151A" w:rsidRDefault="007C447C" w:rsidP="007C447C">
      <w:pPr>
        <w:pStyle w:val="c2"/>
        <w:tabs>
          <w:tab w:val="left" w:pos="8540"/>
        </w:tabs>
        <w:spacing w:after="240" w:line="240" w:lineRule="auto"/>
        <w:jc w:val="both"/>
        <w:rPr>
          <w:rFonts w:ascii="Cambria" w:hAnsi="Cambria"/>
          <w:b/>
          <w:sz w:val="22"/>
          <w:szCs w:val="22"/>
        </w:rPr>
      </w:pPr>
      <w:r w:rsidRPr="00D0151A">
        <w:rPr>
          <w:rFonts w:ascii="Cambria" w:hAnsi="Cambria"/>
          <w:b/>
          <w:sz w:val="22"/>
          <w:szCs w:val="22"/>
        </w:rPr>
        <w:t>DE OTRA PARTE:</w:t>
      </w:r>
    </w:p>
    <w:p w14:paraId="1F24ABAC" w14:textId="77777777" w:rsidR="007C447C" w:rsidRPr="00D0151A" w:rsidRDefault="007C447C" w:rsidP="007C447C">
      <w:pPr>
        <w:pStyle w:val="Sangradetextonormal"/>
        <w:spacing w:after="240"/>
        <w:rPr>
          <w:rFonts w:ascii="Cambria" w:hAnsi="Cambria"/>
          <w:sz w:val="22"/>
          <w:szCs w:val="22"/>
          <w:lang w:val="es-ES"/>
        </w:rPr>
      </w:pPr>
      <w:permStart w:id="914237847" w:edGrp="everyone"/>
      <w:r w:rsidRPr="00D0151A">
        <w:rPr>
          <w:rFonts w:ascii="Cambria" w:hAnsi="Cambria"/>
          <w:sz w:val="22"/>
          <w:szCs w:val="22"/>
          <w:lang w:val="es-ES"/>
        </w:rPr>
        <w:t xml:space="preserve">                , con domicilio social              , Calle                      , </w:t>
      </w:r>
      <w:proofErr w:type="spellStart"/>
      <w:r w:rsidRPr="00D0151A">
        <w:rPr>
          <w:rFonts w:ascii="Cambria" w:hAnsi="Cambria"/>
          <w:sz w:val="22"/>
          <w:szCs w:val="22"/>
          <w:lang w:val="es-ES"/>
        </w:rPr>
        <w:t>Nº</w:t>
      </w:r>
      <w:proofErr w:type="spellEnd"/>
      <w:r w:rsidRPr="00D0151A">
        <w:rPr>
          <w:rFonts w:ascii="Cambria" w:hAnsi="Cambria"/>
          <w:sz w:val="22"/>
          <w:szCs w:val="22"/>
          <w:lang w:val="es-ES"/>
        </w:rPr>
        <w:t xml:space="preserve">            ,                              (             ) con C.I.F.               , representada en este acto por D.                  ., con D.N.I. núm.                 , en virtud de su condición de                   cargo que ostenta en virtud de escritura pública otorgada en      , el día         de       </w:t>
      </w:r>
      <w:proofErr w:type="spellStart"/>
      <w:r w:rsidRPr="00D0151A">
        <w:rPr>
          <w:rFonts w:ascii="Cambria" w:hAnsi="Cambria"/>
          <w:sz w:val="22"/>
          <w:szCs w:val="22"/>
          <w:lang w:val="es-ES"/>
        </w:rPr>
        <w:t>de</w:t>
      </w:r>
      <w:proofErr w:type="spellEnd"/>
      <w:r w:rsidRPr="00D0151A">
        <w:rPr>
          <w:rFonts w:ascii="Cambria" w:hAnsi="Cambria"/>
          <w:sz w:val="22"/>
          <w:szCs w:val="22"/>
          <w:lang w:val="es-ES"/>
        </w:rPr>
        <w:t xml:space="preserve">      , ante el Notario Don          , con el número de su protocolo             </w:t>
      </w:r>
      <w:permEnd w:id="914237847"/>
      <w:r w:rsidRPr="00D0151A">
        <w:rPr>
          <w:rFonts w:ascii="Cambria" w:hAnsi="Cambria"/>
          <w:sz w:val="22"/>
          <w:szCs w:val="22"/>
          <w:lang w:val="es-ES"/>
        </w:rPr>
        <w:t xml:space="preserve">; </w:t>
      </w:r>
    </w:p>
    <w:p w14:paraId="6980BA0F" w14:textId="77777777" w:rsidR="00E40302" w:rsidRPr="00C21353" w:rsidRDefault="00E40302" w:rsidP="00E40302">
      <w:pPr>
        <w:pStyle w:val="c2"/>
        <w:tabs>
          <w:tab w:val="left" w:pos="8540"/>
        </w:tabs>
        <w:spacing w:after="240" w:line="240" w:lineRule="auto"/>
        <w:jc w:val="both"/>
        <w:rPr>
          <w:rFonts w:ascii="Cambria" w:hAnsi="Cambria"/>
          <w:sz w:val="22"/>
          <w:szCs w:val="22"/>
          <w:lang w:val="es-ES"/>
        </w:rPr>
      </w:pPr>
      <w:r w:rsidRPr="00C21353">
        <w:rPr>
          <w:rFonts w:ascii="Cambria" w:hAnsi="Cambria"/>
          <w:sz w:val="22"/>
          <w:szCs w:val="22"/>
          <w:lang w:val="es-ES"/>
        </w:rPr>
        <w:t>Ambas Partes se reconocen capacidad suficiente para este acto y, en su virtud</w:t>
      </w:r>
    </w:p>
    <w:p w14:paraId="2F3FE415" w14:textId="77777777" w:rsidR="00E40302" w:rsidRPr="00C21353" w:rsidRDefault="00E40302" w:rsidP="00E40302">
      <w:pPr>
        <w:pStyle w:val="c2"/>
        <w:tabs>
          <w:tab w:val="left" w:pos="8540"/>
        </w:tabs>
        <w:spacing w:after="240" w:line="240" w:lineRule="auto"/>
        <w:rPr>
          <w:rFonts w:ascii="Cambria" w:hAnsi="Cambria"/>
          <w:b/>
          <w:sz w:val="22"/>
          <w:szCs w:val="22"/>
          <w:lang w:val="es-ES"/>
        </w:rPr>
      </w:pPr>
    </w:p>
    <w:p w14:paraId="411DD86A" w14:textId="6F712071" w:rsidR="00E40302" w:rsidRPr="00C21353" w:rsidRDefault="00E40302" w:rsidP="00E40302">
      <w:pPr>
        <w:pStyle w:val="c2"/>
        <w:tabs>
          <w:tab w:val="left" w:pos="8540"/>
        </w:tabs>
        <w:spacing w:after="240" w:line="240" w:lineRule="auto"/>
        <w:rPr>
          <w:rFonts w:ascii="Cambria" w:hAnsi="Cambria"/>
          <w:b/>
          <w:sz w:val="22"/>
          <w:szCs w:val="22"/>
          <w:lang w:val="es-ES"/>
        </w:rPr>
      </w:pPr>
      <w:r w:rsidRPr="00C21353">
        <w:rPr>
          <w:rFonts w:ascii="Cambria" w:hAnsi="Cambria"/>
          <w:b/>
          <w:sz w:val="22"/>
          <w:szCs w:val="22"/>
          <w:lang w:val="es-ES"/>
        </w:rPr>
        <w:t>EXPONEN</w:t>
      </w:r>
    </w:p>
    <w:p w14:paraId="080E7AE1" w14:textId="10771696" w:rsidR="00E40302" w:rsidRPr="00C21353" w:rsidRDefault="00E40302" w:rsidP="00E40302">
      <w:pPr>
        <w:rPr>
          <w:rFonts w:ascii="Cambria" w:hAnsi="Cambria"/>
          <w:sz w:val="22"/>
          <w:szCs w:val="22"/>
          <w:lang w:val="es-ES"/>
        </w:rPr>
      </w:pPr>
      <w:r w:rsidRPr="00C21353">
        <w:rPr>
          <w:rFonts w:ascii="Cambria" w:hAnsi="Cambria"/>
          <w:b/>
          <w:sz w:val="22"/>
          <w:szCs w:val="22"/>
          <w:lang w:val="es-ES"/>
        </w:rPr>
        <w:tab/>
        <w:t>I.-</w:t>
      </w:r>
      <w:r w:rsidRPr="00C21353">
        <w:rPr>
          <w:rFonts w:ascii="Cambria" w:hAnsi="Cambria"/>
          <w:sz w:val="22"/>
          <w:szCs w:val="22"/>
          <w:lang w:val="es-ES"/>
        </w:rPr>
        <w:t xml:space="preserve"> Que</w:t>
      </w:r>
      <w:r w:rsidR="00866F3D">
        <w:rPr>
          <w:rFonts w:ascii="Cambria" w:hAnsi="Cambria"/>
          <w:sz w:val="22"/>
          <w:szCs w:val="22"/>
          <w:lang w:val="es-ES"/>
        </w:rPr>
        <w:t xml:space="preserve">, </w:t>
      </w:r>
      <w:r w:rsidR="00C104AC" w:rsidRPr="00C21353">
        <w:rPr>
          <w:rFonts w:ascii="Cambria" w:hAnsi="Cambria"/>
          <w:sz w:val="22"/>
          <w:szCs w:val="22"/>
          <w:lang w:val="es-ES"/>
        </w:rPr>
        <w:t xml:space="preserve"> </w:t>
      </w:r>
      <w:r w:rsidR="004F480F" w:rsidRPr="00C21353">
        <w:rPr>
          <w:rFonts w:ascii="Cambria" w:hAnsi="Cambria"/>
          <w:sz w:val="22"/>
          <w:szCs w:val="22"/>
          <w:lang w:val="es-ES"/>
        </w:rPr>
        <w:t>en consideración de</w:t>
      </w:r>
      <w:r w:rsidR="00866F3D" w:rsidRPr="00866F3D">
        <w:rPr>
          <w:rFonts w:ascii="Cambria" w:hAnsi="Cambria"/>
          <w:sz w:val="22"/>
          <w:szCs w:val="22"/>
          <w:lang w:val="es-ES"/>
        </w:rPr>
        <w:t xml:space="preserve"> </w:t>
      </w:r>
      <w:r w:rsidR="00866F3D">
        <w:rPr>
          <w:rFonts w:ascii="Cambria" w:hAnsi="Cambria"/>
          <w:sz w:val="22"/>
          <w:szCs w:val="22"/>
          <w:lang w:val="es-ES"/>
        </w:rPr>
        <w:t xml:space="preserve">la anunciada </w:t>
      </w:r>
      <w:r w:rsidR="00866F3D" w:rsidRPr="00C21353">
        <w:rPr>
          <w:rFonts w:ascii="Cambria" w:hAnsi="Cambria"/>
          <w:sz w:val="22"/>
          <w:szCs w:val="22"/>
          <w:lang w:val="es-ES"/>
        </w:rPr>
        <w:t xml:space="preserve">desaparición del tipo </w:t>
      </w:r>
      <w:r w:rsidR="00866F3D">
        <w:rPr>
          <w:rFonts w:ascii="Cambria" w:hAnsi="Cambria"/>
          <w:sz w:val="22"/>
          <w:szCs w:val="22"/>
          <w:lang w:val="es-ES"/>
        </w:rPr>
        <w:t>de interés</w:t>
      </w:r>
      <w:r w:rsidR="004F480F" w:rsidRPr="00C21353">
        <w:rPr>
          <w:rFonts w:ascii="Cambria" w:hAnsi="Cambria"/>
          <w:sz w:val="22"/>
          <w:szCs w:val="22"/>
          <w:lang w:val="es-ES"/>
        </w:rPr>
        <w:t xml:space="preserve"> EONIA</w:t>
      </w:r>
      <w:r w:rsidR="00866F3D">
        <w:rPr>
          <w:rFonts w:ascii="Cambria" w:hAnsi="Cambria"/>
          <w:sz w:val="22"/>
          <w:szCs w:val="22"/>
          <w:lang w:val="es-ES"/>
        </w:rPr>
        <w:t>,</w:t>
      </w:r>
      <w:r w:rsidR="004F480F" w:rsidRPr="00C21353">
        <w:rPr>
          <w:rFonts w:ascii="Cambria" w:hAnsi="Cambria"/>
          <w:sz w:val="22"/>
          <w:szCs w:val="22"/>
          <w:lang w:val="es-ES"/>
        </w:rPr>
        <w:t xml:space="preserve"> </w:t>
      </w:r>
      <w:r w:rsidRPr="00C21353">
        <w:rPr>
          <w:rFonts w:ascii="Cambria" w:hAnsi="Cambria"/>
          <w:sz w:val="22"/>
          <w:szCs w:val="22"/>
          <w:lang w:val="es-ES"/>
        </w:rPr>
        <w:t xml:space="preserve">las Partes han llegado a un acuerdo para formalizar un contrato de novación modificativa y no extintiva </w:t>
      </w:r>
      <w:permStart w:id="1968399249" w:edGrp="everyone"/>
      <w:r w:rsidRPr="00C21353">
        <w:rPr>
          <w:rFonts w:ascii="Cambria" w:hAnsi="Cambria"/>
          <w:sz w:val="22"/>
          <w:szCs w:val="22"/>
          <w:lang w:val="es-ES"/>
        </w:rPr>
        <w:t xml:space="preserve">del/de los </w:t>
      </w:r>
      <w:r w:rsidR="00083E7B" w:rsidRPr="00C21353">
        <w:rPr>
          <w:rFonts w:ascii="Cambria" w:hAnsi="Cambria"/>
          <w:sz w:val="22"/>
          <w:szCs w:val="22"/>
          <w:lang w:val="es-ES"/>
        </w:rPr>
        <w:t>Anexo</w:t>
      </w:r>
      <w:r w:rsidR="00DB5315" w:rsidRPr="00C21353">
        <w:rPr>
          <w:rFonts w:ascii="Cambria" w:hAnsi="Cambria"/>
          <w:sz w:val="22"/>
          <w:szCs w:val="22"/>
          <w:lang w:val="es-ES"/>
        </w:rPr>
        <w:t>/</w:t>
      </w:r>
      <w:r w:rsidR="00083E7B" w:rsidRPr="00C21353">
        <w:rPr>
          <w:rFonts w:ascii="Cambria" w:hAnsi="Cambria"/>
          <w:sz w:val="22"/>
          <w:szCs w:val="22"/>
          <w:lang w:val="es-ES"/>
        </w:rPr>
        <w:t xml:space="preserve">s III de </w:t>
      </w:r>
      <w:r w:rsidR="00EB1448">
        <w:rPr>
          <w:rFonts w:ascii="Cambria" w:hAnsi="Cambria"/>
          <w:sz w:val="22"/>
          <w:szCs w:val="22"/>
          <w:lang w:val="es-ES"/>
        </w:rPr>
        <w:t>[</w:t>
      </w:r>
      <w:r w:rsidR="00083E7B" w:rsidRPr="00EB1448">
        <w:rPr>
          <w:rFonts w:ascii="Cambria" w:hAnsi="Cambria"/>
          <w:sz w:val="22"/>
          <w:szCs w:val="22"/>
          <w:lang w:val="es-ES"/>
        </w:rPr>
        <w:t>l</w:t>
      </w:r>
      <w:r w:rsidR="00083E7B" w:rsidRPr="00C21353">
        <w:rPr>
          <w:rFonts w:ascii="Cambria" w:hAnsi="Cambria"/>
          <w:sz w:val="22"/>
          <w:szCs w:val="22"/>
          <w:lang w:val="es-ES"/>
        </w:rPr>
        <w:t>os</w:t>
      </w:r>
      <w:r w:rsidR="0061697D" w:rsidRPr="00C21353">
        <w:rPr>
          <w:rFonts w:ascii="Cambria" w:hAnsi="Cambria"/>
          <w:sz w:val="22"/>
          <w:szCs w:val="22"/>
          <w:lang w:val="es-ES"/>
        </w:rPr>
        <w:t>/determinados</w:t>
      </w:r>
      <w:r w:rsidR="0061697D" w:rsidRPr="00EB1448">
        <w:rPr>
          <w:rFonts w:ascii="Cambria" w:hAnsi="Cambria"/>
          <w:sz w:val="22"/>
          <w:szCs w:val="22"/>
          <w:lang w:val="es-ES"/>
        </w:rPr>
        <w:t>]</w:t>
      </w:r>
      <w:r w:rsidR="0061697D" w:rsidRPr="00EB1448">
        <w:rPr>
          <w:rStyle w:val="Refdenotaalpie"/>
          <w:lang w:val="es-ES"/>
        </w:rPr>
        <w:footnoteReference w:id="1"/>
      </w:r>
      <w:r w:rsidR="00083E7B" w:rsidRPr="00C21353">
        <w:rPr>
          <w:rFonts w:ascii="Cambria" w:hAnsi="Cambria"/>
          <w:sz w:val="22"/>
          <w:szCs w:val="22"/>
          <w:lang w:val="es-ES"/>
        </w:rPr>
        <w:t xml:space="preserve"> </w:t>
      </w:r>
      <w:r w:rsidRPr="00C21353">
        <w:rPr>
          <w:rFonts w:ascii="Cambria" w:hAnsi="Cambria"/>
          <w:sz w:val="22"/>
          <w:szCs w:val="22"/>
          <w:lang w:val="es-ES"/>
        </w:rPr>
        <w:t>Contrato/s Marco de Operaciones Financieras</w:t>
      </w:r>
      <w:permEnd w:id="1968399249"/>
      <w:r w:rsidRPr="00C21353">
        <w:rPr>
          <w:rFonts w:ascii="Cambria" w:hAnsi="Cambria"/>
          <w:sz w:val="22"/>
          <w:szCs w:val="22"/>
          <w:lang w:val="es-ES"/>
        </w:rPr>
        <w:t xml:space="preserve"> en vigor entre las Partes.</w:t>
      </w:r>
    </w:p>
    <w:p w14:paraId="2E8CCA54" w14:textId="607033F1" w:rsidR="00E40302" w:rsidRPr="00C21353" w:rsidRDefault="00E40302" w:rsidP="00E40302">
      <w:pPr>
        <w:rPr>
          <w:rFonts w:ascii="Cambria" w:hAnsi="Cambria"/>
          <w:sz w:val="22"/>
          <w:szCs w:val="22"/>
          <w:lang w:val="es-ES"/>
        </w:rPr>
      </w:pPr>
      <w:r w:rsidRPr="00C21353">
        <w:rPr>
          <w:rFonts w:ascii="Cambria" w:hAnsi="Cambria"/>
          <w:b/>
          <w:sz w:val="22"/>
          <w:szCs w:val="22"/>
          <w:lang w:val="es-ES"/>
        </w:rPr>
        <w:tab/>
        <w:t xml:space="preserve">II.- </w:t>
      </w:r>
      <w:r w:rsidRPr="00C21353">
        <w:rPr>
          <w:rFonts w:ascii="Cambria" w:hAnsi="Cambria"/>
          <w:sz w:val="22"/>
          <w:szCs w:val="22"/>
          <w:lang w:val="es-ES"/>
        </w:rPr>
        <w:t xml:space="preserve">Que esta novación modificativa y no extintiva será de aplicación a todos los </w:t>
      </w:r>
      <w:r w:rsidR="00AE62D2" w:rsidRPr="00C21353">
        <w:rPr>
          <w:rFonts w:ascii="Cambria" w:hAnsi="Cambria"/>
          <w:sz w:val="22"/>
          <w:szCs w:val="22"/>
          <w:lang w:val="es-ES"/>
        </w:rPr>
        <w:t xml:space="preserve">Anexos III de los </w:t>
      </w:r>
      <w:r w:rsidRPr="00C21353">
        <w:rPr>
          <w:rFonts w:ascii="Cambria" w:hAnsi="Cambria"/>
          <w:sz w:val="22"/>
          <w:szCs w:val="22"/>
          <w:lang w:val="es-ES"/>
        </w:rPr>
        <w:t xml:space="preserve">Contrato/s Marco de Operaciones Financieras en vigor entre las Partes </w:t>
      </w:r>
      <w:r w:rsidR="00EB1448">
        <w:rPr>
          <w:rFonts w:ascii="Cambria" w:hAnsi="Cambria"/>
          <w:sz w:val="22"/>
          <w:szCs w:val="22"/>
          <w:lang w:val="es-ES"/>
        </w:rPr>
        <w:t xml:space="preserve">especificados en la misma </w:t>
      </w:r>
      <w:r w:rsidRPr="00C21353">
        <w:rPr>
          <w:rFonts w:ascii="Cambria" w:hAnsi="Cambria"/>
          <w:sz w:val="22"/>
          <w:szCs w:val="22"/>
          <w:lang w:val="es-ES"/>
        </w:rPr>
        <w:t>con independencia de</w:t>
      </w:r>
      <w:r w:rsidR="00866F3D">
        <w:rPr>
          <w:rFonts w:ascii="Cambria" w:hAnsi="Cambria"/>
          <w:sz w:val="22"/>
          <w:szCs w:val="22"/>
          <w:lang w:val="es-ES"/>
        </w:rPr>
        <w:t xml:space="preserve"> </w:t>
      </w:r>
      <w:r w:rsidRPr="00C21353">
        <w:rPr>
          <w:rFonts w:ascii="Cambria" w:hAnsi="Cambria"/>
          <w:sz w:val="22"/>
          <w:szCs w:val="22"/>
          <w:lang w:val="es-ES"/>
        </w:rPr>
        <w:t>l</w:t>
      </w:r>
      <w:r w:rsidR="00866F3D">
        <w:rPr>
          <w:rFonts w:ascii="Cambria" w:hAnsi="Cambria"/>
          <w:sz w:val="22"/>
          <w:szCs w:val="22"/>
          <w:lang w:val="es-ES"/>
        </w:rPr>
        <w:t>a</w:t>
      </w:r>
      <w:r w:rsidRPr="00C21353">
        <w:rPr>
          <w:rFonts w:ascii="Cambria" w:hAnsi="Cambria"/>
          <w:sz w:val="22"/>
          <w:szCs w:val="22"/>
          <w:lang w:val="es-ES"/>
        </w:rPr>
        <w:t xml:space="preserve"> </w:t>
      </w:r>
      <w:r w:rsidR="00866F3D">
        <w:rPr>
          <w:rFonts w:ascii="Cambria" w:hAnsi="Cambria"/>
          <w:sz w:val="22"/>
          <w:szCs w:val="22"/>
          <w:lang w:val="es-ES"/>
        </w:rPr>
        <w:t xml:space="preserve">versión </w:t>
      </w:r>
      <w:r w:rsidR="00AE62D2" w:rsidRPr="00C21353">
        <w:rPr>
          <w:rFonts w:ascii="Cambria" w:hAnsi="Cambria"/>
          <w:sz w:val="22"/>
          <w:szCs w:val="22"/>
          <w:lang w:val="es-ES"/>
        </w:rPr>
        <w:t xml:space="preserve">de Anexo III y de Contrato Marco </w:t>
      </w:r>
      <w:r w:rsidRPr="00C21353">
        <w:rPr>
          <w:rFonts w:ascii="Cambria" w:hAnsi="Cambria"/>
          <w:sz w:val="22"/>
          <w:szCs w:val="22"/>
          <w:lang w:val="es-ES"/>
        </w:rPr>
        <w:t>que hubieran suscrito o pactado</w:t>
      </w:r>
      <w:r w:rsidR="00F22B7C" w:rsidRPr="00C21353">
        <w:rPr>
          <w:rFonts w:ascii="Cambria" w:hAnsi="Cambria"/>
          <w:sz w:val="22"/>
          <w:szCs w:val="22"/>
          <w:lang w:val="es-ES"/>
        </w:rPr>
        <w:t xml:space="preserve"> </w:t>
      </w:r>
      <w:r w:rsidRPr="00C21353">
        <w:rPr>
          <w:rFonts w:ascii="Cambria" w:hAnsi="Cambria"/>
          <w:sz w:val="22"/>
          <w:szCs w:val="22"/>
          <w:lang w:val="es-ES"/>
        </w:rPr>
        <w:t>su aplicación por referencia en las Confirmaciones u otros documentos (genéricamente, en el presente documento, el “</w:t>
      </w:r>
      <w:r w:rsidR="00AE62D2" w:rsidRPr="00C21353">
        <w:rPr>
          <w:rFonts w:ascii="Cambria" w:hAnsi="Cambria"/>
          <w:b/>
          <w:bCs/>
          <w:sz w:val="22"/>
          <w:szCs w:val="22"/>
          <w:lang w:val="es-ES"/>
        </w:rPr>
        <w:t>Anexo III</w:t>
      </w:r>
      <w:r w:rsidRPr="00C21353">
        <w:rPr>
          <w:rFonts w:ascii="Cambria" w:hAnsi="Cambria"/>
          <w:sz w:val="22"/>
          <w:szCs w:val="22"/>
          <w:lang w:val="es-ES"/>
        </w:rPr>
        <w:t xml:space="preserve">” </w:t>
      </w:r>
      <w:r w:rsidR="00AE62D2" w:rsidRPr="00C21353">
        <w:rPr>
          <w:rFonts w:ascii="Cambria" w:hAnsi="Cambria"/>
          <w:sz w:val="22"/>
          <w:szCs w:val="22"/>
          <w:lang w:val="es-ES"/>
        </w:rPr>
        <w:t>y</w:t>
      </w:r>
      <w:r w:rsidRPr="00C21353">
        <w:rPr>
          <w:rFonts w:ascii="Cambria" w:hAnsi="Cambria"/>
          <w:sz w:val="22"/>
          <w:szCs w:val="22"/>
          <w:lang w:val="es-ES"/>
        </w:rPr>
        <w:t xml:space="preserve"> el “</w:t>
      </w:r>
      <w:r w:rsidRPr="00C21353">
        <w:rPr>
          <w:rFonts w:ascii="Cambria" w:hAnsi="Cambria"/>
          <w:b/>
          <w:sz w:val="22"/>
          <w:szCs w:val="22"/>
          <w:lang w:val="es-ES"/>
        </w:rPr>
        <w:t>Contrato Marco</w:t>
      </w:r>
      <w:r w:rsidRPr="00C21353">
        <w:rPr>
          <w:rFonts w:ascii="Cambria" w:hAnsi="Cambria"/>
          <w:sz w:val="22"/>
          <w:szCs w:val="22"/>
          <w:lang w:val="es-ES"/>
        </w:rPr>
        <w:t>”,</w:t>
      </w:r>
      <w:r w:rsidR="00AE62D2" w:rsidRPr="00C21353">
        <w:rPr>
          <w:rFonts w:ascii="Cambria" w:hAnsi="Cambria"/>
          <w:sz w:val="22"/>
          <w:szCs w:val="22"/>
          <w:lang w:val="es-ES"/>
        </w:rPr>
        <w:t xml:space="preserve"> respectivamente,</w:t>
      </w:r>
      <w:r w:rsidRPr="00C21353">
        <w:rPr>
          <w:rFonts w:ascii="Cambria" w:hAnsi="Cambria"/>
          <w:sz w:val="22"/>
          <w:szCs w:val="22"/>
          <w:lang w:val="es-ES"/>
        </w:rPr>
        <w:t xml:space="preserve"> comprendiendo tanto el plural como el singular), y se formaliza por medio de la presente novación modificativa (la “</w:t>
      </w:r>
      <w:r w:rsidRPr="00C21353">
        <w:rPr>
          <w:rFonts w:ascii="Cambria" w:hAnsi="Cambria"/>
          <w:b/>
          <w:sz w:val="22"/>
          <w:szCs w:val="22"/>
          <w:lang w:val="es-ES"/>
        </w:rPr>
        <w:t>Novación</w:t>
      </w:r>
      <w:r w:rsidRPr="00C21353">
        <w:rPr>
          <w:rFonts w:ascii="Cambria" w:hAnsi="Cambria"/>
          <w:sz w:val="22"/>
          <w:szCs w:val="22"/>
          <w:lang w:val="es-ES"/>
        </w:rPr>
        <w:t>” o el "</w:t>
      </w:r>
      <w:r w:rsidRPr="00C21353">
        <w:rPr>
          <w:rFonts w:ascii="Cambria" w:hAnsi="Cambria"/>
          <w:b/>
          <w:bCs/>
          <w:sz w:val="22"/>
          <w:szCs w:val="22"/>
          <w:lang w:val="es-ES"/>
        </w:rPr>
        <w:t>Contrato</w:t>
      </w:r>
      <w:r w:rsidRPr="00C21353">
        <w:rPr>
          <w:rFonts w:ascii="Cambria" w:hAnsi="Cambria"/>
          <w:sz w:val="22"/>
          <w:szCs w:val="22"/>
          <w:lang w:val="es-ES"/>
        </w:rPr>
        <w:t>") con sujeción a las siguientes</w:t>
      </w:r>
    </w:p>
    <w:p w14:paraId="6A3AC205" w14:textId="77777777" w:rsidR="00E40302" w:rsidRPr="00C21353" w:rsidRDefault="00E40302" w:rsidP="00E40302">
      <w:pPr>
        <w:tabs>
          <w:tab w:val="left" w:pos="740"/>
        </w:tabs>
        <w:rPr>
          <w:lang w:val="es-ES"/>
        </w:rPr>
      </w:pPr>
    </w:p>
    <w:p w14:paraId="6B321AEC" w14:textId="77777777" w:rsidR="00E40302" w:rsidRPr="00C21353" w:rsidRDefault="00E40302" w:rsidP="00E40302">
      <w:pPr>
        <w:pStyle w:val="c2"/>
        <w:tabs>
          <w:tab w:val="left" w:pos="740"/>
        </w:tabs>
        <w:spacing w:after="240" w:line="240" w:lineRule="auto"/>
        <w:rPr>
          <w:rFonts w:ascii="Times New Roman" w:hAnsi="Times New Roman"/>
          <w:b/>
          <w:szCs w:val="24"/>
          <w:lang w:val="es-ES"/>
        </w:rPr>
      </w:pPr>
      <w:r w:rsidRPr="00C21353">
        <w:rPr>
          <w:rFonts w:ascii="Times New Roman" w:hAnsi="Times New Roman"/>
          <w:b/>
          <w:szCs w:val="24"/>
          <w:lang w:val="es-ES"/>
        </w:rPr>
        <w:t>ESTIPULACIONES</w:t>
      </w:r>
    </w:p>
    <w:p w14:paraId="7C3FB928" w14:textId="77777777" w:rsidR="00E40302" w:rsidRPr="00C21353" w:rsidRDefault="00E40302" w:rsidP="00E40302">
      <w:pPr>
        <w:pStyle w:val="Textoindependiente"/>
        <w:jc w:val="center"/>
        <w:rPr>
          <w:b/>
          <w:bCs/>
          <w:lang w:val="es-ES"/>
        </w:rPr>
      </w:pPr>
    </w:p>
    <w:p w14:paraId="33AF2340" w14:textId="31961970" w:rsidR="00E40302" w:rsidRPr="00C21353" w:rsidRDefault="00E40302" w:rsidP="00E40302">
      <w:pPr>
        <w:rPr>
          <w:b/>
          <w:u w:val="single"/>
          <w:lang w:val="es-ES" w:bidi="ar-SA"/>
        </w:rPr>
      </w:pPr>
      <w:r w:rsidRPr="00C21353">
        <w:rPr>
          <w:b/>
          <w:lang w:val="es-ES"/>
        </w:rPr>
        <w:t xml:space="preserve">PRIMERA.- MODIFICACIONES AL </w:t>
      </w:r>
      <w:r w:rsidR="00083E7B" w:rsidRPr="00C21353">
        <w:rPr>
          <w:b/>
          <w:lang w:val="es-ES"/>
        </w:rPr>
        <w:t xml:space="preserve">ANEXO III DEL </w:t>
      </w:r>
      <w:r w:rsidRPr="00C21353">
        <w:rPr>
          <w:b/>
          <w:lang w:val="es-ES"/>
        </w:rPr>
        <w:t>CONTRATO MARCO</w:t>
      </w:r>
    </w:p>
    <w:p w14:paraId="0368D449" w14:textId="77777777" w:rsidR="001C4C48" w:rsidRPr="00C21353" w:rsidRDefault="001C4C48" w:rsidP="00E40302">
      <w:pPr>
        <w:pStyle w:val="p4"/>
        <w:spacing w:line="280" w:lineRule="exact"/>
        <w:ind w:left="0"/>
        <w:rPr>
          <w:rFonts w:ascii="Cambria" w:hAnsi="Cambria"/>
          <w:sz w:val="22"/>
          <w:szCs w:val="22"/>
          <w:lang w:val="es-ES"/>
        </w:rPr>
      </w:pPr>
    </w:p>
    <w:p w14:paraId="0F4B5451" w14:textId="4B4AF7CD" w:rsidR="001C4C48" w:rsidRPr="00C21353" w:rsidRDefault="00E40302" w:rsidP="00E40302">
      <w:pPr>
        <w:pStyle w:val="p4"/>
        <w:spacing w:line="280" w:lineRule="exact"/>
        <w:ind w:left="0"/>
        <w:rPr>
          <w:rFonts w:ascii="Cambria" w:hAnsi="Cambria"/>
          <w:sz w:val="22"/>
          <w:szCs w:val="22"/>
          <w:lang w:val="es-ES"/>
        </w:rPr>
      </w:pPr>
      <w:r w:rsidRPr="00C21353">
        <w:rPr>
          <w:rFonts w:ascii="Cambria" w:hAnsi="Cambria"/>
          <w:sz w:val="22"/>
          <w:szCs w:val="22"/>
          <w:lang w:val="es-ES"/>
        </w:rPr>
        <w:t>Por el presente Contrato</w:t>
      </w:r>
      <w:r w:rsidR="00C104AC" w:rsidRPr="00C21353">
        <w:rPr>
          <w:rFonts w:ascii="Cambria" w:hAnsi="Cambria"/>
          <w:sz w:val="22"/>
          <w:szCs w:val="22"/>
          <w:lang w:val="es-ES"/>
        </w:rPr>
        <w:t xml:space="preserve"> </w:t>
      </w:r>
      <w:r w:rsidRPr="00C21353">
        <w:rPr>
          <w:rFonts w:ascii="Cambria" w:hAnsi="Cambria"/>
          <w:sz w:val="22"/>
          <w:szCs w:val="22"/>
          <w:lang w:val="es-ES"/>
        </w:rPr>
        <w:t xml:space="preserve">y con efecto a partir de la firma del mismo o de su aplicación por referencia en otros contratos o documentos, las Partes acuerdan modificar </w:t>
      </w:r>
      <w:r w:rsidR="001C4C48" w:rsidRPr="00C21353">
        <w:rPr>
          <w:rFonts w:ascii="Cambria" w:hAnsi="Cambria"/>
          <w:sz w:val="22"/>
          <w:szCs w:val="22"/>
          <w:lang w:val="es-ES"/>
        </w:rPr>
        <w:t>los</w:t>
      </w:r>
      <w:r w:rsidRPr="00C21353">
        <w:rPr>
          <w:rFonts w:ascii="Cambria" w:hAnsi="Cambria"/>
          <w:sz w:val="22"/>
          <w:szCs w:val="22"/>
          <w:lang w:val="es-ES"/>
        </w:rPr>
        <w:t xml:space="preserve"> Anexo</w:t>
      </w:r>
      <w:r w:rsidR="001C4C48" w:rsidRPr="00C21353">
        <w:rPr>
          <w:rFonts w:ascii="Cambria" w:hAnsi="Cambria"/>
          <w:sz w:val="22"/>
          <w:szCs w:val="22"/>
          <w:lang w:val="es-ES"/>
        </w:rPr>
        <w:t>s</w:t>
      </w:r>
      <w:r w:rsidRPr="00C21353">
        <w:rPr>
          <w:rFonts w:ascii="Cambria" w:hAnsi="Cambria"/>
          <w:sz w:val="22"/>
          <w:szCs w:val="22"/>
          <w:lang w:val="es-ES"/>
        </w:rPr>
        <w:t xml:space="preserve"> III </w:t>
      </w:r>
      <w:r w:rsidR="001C4C48" w:rsidRPr="00C21353">
        <w:rPr>
          <w:rFonts w:ascii="Cambria" w:hAnsi="Cambria"/>
          <w:sz w:val="22"/>
          <w:szCs w:val="22"/>
          <w:lang w:val="es-ES"/>
        </w:rPr>
        <w:t xml:space="preserve">Relevantes </w:t>
      </w:r>
      <w:r w:rsidRPr="00C21353">
        <w:rPr>
          <w:rFonts w:ascii="Cambria" w:hAnsi="Cambria"/>
          <w:sz w:val="22"/>
          <w:szCs w:val="22"/>
          <w:lang w:val="es-ES"/>
        </w:rPr>
        <w:t xml:space="preserve">haciendo que sean de aplicación entre las Partes los </w:t>
      </w:r>
      <w:r w:rsidR="009F5A81" w:rsidRPr="00C21353">
        <w:rPr>
          <w:rFonts w:ascii="Cambria" w:hAnsi="Cambria"/>
          <w:sz w:val="22"/>
          <w:szCs w:val="22"/>
          <w:lang w:val="es-ES"/>
        </w:rPr>
        <w:t>“</w:t>
      </w:r>
      <w:r w:rsidRPr="00C21353">
        <w:rPr>
          <w:rFonts w:ascii="Cambria" w:hAnsi="Cambria"/>
          <w:sz w:val="22"/>
          <w:szCs w:val="22"/>
          <w:lang w:val="es-ES"/>
        </w:rPr>
        <w:t xml:space="preserve">Acuerdos de las Partes </w:t>
      </w:r>
      <w:r w:rsidR="00866F3D">
        <w:rPr>
          <w:rFonts w:ascii="Cambria" w:hAnsi="Cambria"/>
          <w:sz w:val="22"/>
          <w:szCs w:val="22"/>
          <w:lang w:val="es-ES"/>
        </w:rPr>
        <w:t>para modificar o reemplazar las referencias al EONIA</w:t>
      </w:r>
      <w:r w:rsidR="009F5A81" w:rsidRPr="00C21353">
        <w:rPr>
          <w:rFonts w:ascii="Cambria" w:hAnsi="Cambria"/>
          <w:sz w:val="22"/>
          <w:szCs w:val="22"/>
          <w:lang w:val="es-ES"/>
        </w:rPr>
        <w:t xml:space="preserve">” </w:t>
      </w:r>
      <w:r w:rsidRPr="00C21353">
        <w:rPr>
          <w:rFonts w:ascii="Cambria" w:hAnsi="Cambria"/>
          <w:sz w:val="22"/>
          <w:szCs w:val="22"/>
          <w:lang w:val="es-ES"/>
        </w:rPr>
        <w:t>(los "</w:t>
      </w:r>
      <w:r w:rsidRPr="00C21353">
        <w:rPr>
          <w:rFonts w:ascii="Cambria" w:hAnsi="Cambria"/>
          <w:b/>
          <w:bCs/>
          <w:sz w:val="22"/>
          <w:szCs w:val="22"/>
          <w:lang w:val="es-ES"/>
        </w:rPr>
        <w:t>Acuerdos</w:t>
      </w:r>
      <w:r w:rsidRPr="00C21353">
        <w:rPr>
          <w:rFonts w:ascii="Cambria" w:hAnsi="Cambria"/>
          <w:sz w:val="22"/>
          <w:szCs w:val="22"/>
          <w:lang w:val="es-ES"/>
        </w:rPr>
        <w:t>")</w:t>
      </w:r>
      <w:r w:rsidR="001C4C48" w:rsidRPr="00C21353">
        <w:rPr>
          <w:rFonts w:ascii="Cambria" w:hAnsi="Cambria"/>
          <w:sz w:val="22"/>
          <w:szCs w:val="22"/>
          <w:lang w:val="es-ES"/>
        </w:rPr>
        <w:t>, con el siguiente contenido:</w:t>
      </w:r>
    </w:p>
    <w:p w14:paraId="5FFCD64A" w14:textId="77777777" w:rsidR="001C4C48" w:rsidRPr="00C21353" w:rsidRDefault="001C4C48" w:rsidP="00E40302">
      <w:pPr>
        <w:pStyle w:val="p4"/>
        <w:spacing w:line="280" w:lineRule="exact"/>
        <w:ind w:left="0"/>
        <w:rPr>
          <w:rFonts w:ascii="Cambria" w:hAnsi="Cambria"/>
          <w:sz w:val="22"/>
          <w:szCs w:val="22"/>
          <w:lang w:val="es-ES"/>
        </w:rPr>
      </w:pPr>
    </w:p>
    <w:p w14:paraId="45A99B8E" w14:textId="740944B7" w:rsidR="00E40302" w:rsidRPr="00C21353" w:rsidRDefault="00E40302" w:rsidP="004F480F">
      <w:pPr>
        <w:pStyle w:val="Textoindependiente"/>
        <w:rPr>
          <w:b/>
          <w:bCs/>
          <w:lang w:val="es-ES"/>
        </w:rPr>
      </w:pPr>
      <w:r w:rsidRPr="00C21353">
        <w:rPr>
          <w:b/>
          <w:lang w:val="es-ES"/>
        </w:rPr>
        <w:t xml:space="preserve">ACUERDOS DE LAS PARTES PARA </w:t>
      </w:r>
      <w:r w:rsidR="00866F3D">
        <w:rPr>
          <w:b/>
          <w:lang w:val="es-ES"/>
        </w:rPr>
        <w:t xml:space="preserve">MODIFICAR O REEMPLAZAR LAS REFERENCIAS AL EONIA </w:t>
      </w:r>
    </w:p>
    <w:p w14:paraId="16C16A35" w14:textId="665A9A3A" w:rsidR="00DA554D" w:rsidRPr="00C21353" w:rsidRDefault="00E40302" w:rsidP="004F480F">
      <w:pPr>
        <w:pStyle w:val="Textoindependiente"/>
        <w:rPr>
          <w:b/>
          <w:bCs/>
          <w:lang w:val="es-ES"/>
        </w:rPr>
      </w:pPr>
      <w:bookmarkStart w:id="0" w:name="_Hlk41410487"/>
      <w:r w:rsidRPr="00C21353">
        <w:rPr>
          <w:b/>
          <w:bCs/>
          <w:lang w:val="es-ES"/>
        </w:rPr>
        <w:t>(I)</w:t>
      </w:r>
      <w:r w:rsidR="00DA554D" w:rsidRPr="00C21353">
        <w:rPr>
          <w:b/>
          <w:bCs/>
          <w:lang w:val="es-ES"/>
        </w:rPr>
        <w:tab/>
      </w:r>
      <w:r w:rsidR="004F480F" w:rsidRPr="00C21353">
        <w:rPr>
          <w:b/>
          <w:bCs/>
          <w:lang w:val="es-ES"/>
        </w:rPr>
        <w:t xml:space="preserve">ÁMBITO DE APLICACIÓN E </w:t>
      </w:r>
      <w:r w:rsidR="00DA554D" w:rsidRPr="00C21353">
        <w:rPr>
          <w:b/>
          <w:bCs/>
          <w:lang w:val="es-ES"/>
        </w:rPr>
        <w:t>INTERPRETACIÓN</w:t>
      </w:r>
    </w:p>
    <w:p w14:paraId="770D4720" w14:textId="2B58824F" w:rsidR="004F480F" w:rsidRPr="00C21353" w:rsidRDefault="00C3601F" w:rsidP="004F480F">
      <w:pPr>
        <w:pStyle w:val="Textoindependiente"/>
        <w:ind w:left="720" w:hanging="720"/>
        <w:rPr>
          <w:lang w:val="es-ES"/>
        </w:rPr>
      </w:pPr>
      <w:r w:rsidRPr="00C21353">
        <w:rPr>
          <w:lang w:val="es-ES"/>
        </w:rPr>
        <w:t>1.</w:t>
      </w:r>
      <w:r w:rsidRPr="00C21353">
        <w:rPr>
          <w:lang w:val="es-ES"/>
        </w:rPr>
        <w:tab/>
      </w:r>
      <w:r w:rsidR="004F480F" w:rsidRPr="00C21353">
        <w:rPr>
          <w:lang w:val="es-ES"/>
        </w:rPr>
        <w:t>Los presentes Acuerdos serán de aplicación a todos y cada uno de los Anexo(s) III Relevantes(s) a partir de la Fecha Relevante.</w:t>
      </w:r>
    </w:p>
    <w:p w14:paraId="13051CBA" w14:textId="77777777" w:rsidR="004F480F" w:rsidRPr="00C21353" w:rsidRDefault="004F480F" w:rsidP="004F480F">
      <w:pPr>
        <w:pStyle w:val="Textoindependiente"/>
        <w:ind w:left="720" w:hanging="720"/>
        <w:rPr>
          <w:lang w:val="es-ES"/>
        </w:rPr>
      </w:pPr>
      <w:r w:rsidRPr="00C21353">
        <w:rPr>
          <w:lang w:val="es-ES"/>
        </w:rPr>
        <w:tab/>
        <w:t>A estos efectos:</w:t>
      </w:r>
    </w:p>
    <w:p w14:paraId="1AD9582B" w14:textId="6649A3CC" w:rsidR="004F480F" w:rsidRPr="00C21353" w:rsidRDefault="004F480F" w:rsidP="004F480F">
      <w:pPr>
        <w:pStyle w:val="Textoindependiente"/>
        <w:ind w:left="720" w:hanging="12"/>
        <w:rPr>
          <w:lang w:val="es-ES"/>
        </w:rPr>
      </w:pPr>
      <w:r w:rsidRPr="00C21353">
        <w:rPr>
          <w:lang w:val="es-ES"/>
        </w:rPr>
        <w:t>"</w:t>
      </w:r>
      <w:r w:rsidRPr="00C21353">
        <w:rPr>
          <w:b/>
          <w:bCs/>
          <w:lang w:val="es-ES"/>
        </w:rPr>
        <w:t>Anexo(s) III Relevante(s)"</w:t>
      </w:r>
      <w:r w:rsidRPr="00C21353">
        <w:rPr>
          <w:lang w:val="es-ES"/>
        </w:rPr>
        <w:t xml:space="preserve"> significa [</w:t>
      </w:r>
      <w:permStart w:id="646466615" w:edGrp="everyone"/>
      <w:r w:rsidRPr="00C21353">
        <w:rPr>
          <w:i/>
          <w:iCs/>
          <w:lang w:val="es-ES"/>
        </w:rPr>
        <w:t>identificación de los Anexos III y CMOFs</w:t>
      </w:r>
      <w:permEnd w:id="646466615"/>
      <w:r w:rsidRPr="00C21353">
        <w:rPr>
          <w:lang w:val="es-ES"/>
        </w:rPr>
        <w:t>].</w:t>
      </w:r>
    </w:p>
    <w:p w14:paraId="1F181EBF" w14:textId="6D420A50" w:rsidR="004F480F" w:rsidRPr="00C21353" w:rsidRDefault="004F480F" w:rsidP="004F480F">
      <w:pPr>
        <w:pStyle w:val="Textoindependiente"/>
        <w:ind w:left="708"/>
        <w:rPr>
          <w:lang w:val="es-ES"/>
        </w:rPr>
      </w:pPr>
      <w:r w:rsidRPr="00C21353">
        <w:rPr>
          <w:lang w:val="es-ES"/>
        </w:rPr>
        <w:t>"</w:t>
      </w:r>
      <w:r w:rsidRPr="00C21353">
        <w:rPr>
          <w:b/>
          <w:bCs/>
          <w:lang w:val="es-ES"/>
        </w:rPr>
        <w:t>Contrato(s) Marco(s) Relevante(s)</w:t>
      </w:r>
      <w:r w:rsidRPr="00C21353">
        <w:rPr>
          <w:lang w:val="es-ES"/>
        </w:rPr>
        <w:t>" significa cada uno de los Contratos Marco referidos en la definición de Anexo(s) III Relevante(s).</w:t>
      </w:r>
    </w:p>
    <w:p w14:paraId="7B6056E8" w14:textId="631F679D" w:rsidR="004F480F" w:rsidRPr="00C21353" w:rsidRDefault="004F480F" w:rsidP="00770F17">
      <w:pPr>
        <w:pStyle w:val="Textoindependiente"/>
        <w:ind w:left="708"/>
        <w:rPr>
          <w:lang w:val="es-ES"/>
        </w:rPr>
      </w:pPr>
      <w:r w:rsidRPr="00C21353">
        <w:rPr>
          <w:lang w:val="es-ES"/>
        </w:rPr>
        <w:t>"</w:t>
      </w:r>
      <w:r w:rsidRPr="00C21353">
        <w:rPr>
          <w:b/>
          <w:bCs/>
          <w:lang w:val="es-ES"/>
        </w:rPr>
        <w:t>Fecha Relevante</w:t>
      </w:r>
      <w:r w:rsidRPr="00C21353">
        <w:rPr>
          <w:lang w:val="es-ES"/>
        </w:rPr>
        <w:t xml:space="preserve">" significa </w:t>
      </w:r>
      <w:permStart w:id="1213072445" w:edGrp="everyone"/>
      <w:r w:rsidRPr="00C21353">
        <w:rPr>
          <w:lang w:val="es-ES"/>
        </w:rPr>
        <w:t>[la fecha del presente Contrato/</w:t>
      </w:r>
      <w:r w:rsidRPr="00C21353">
        <w:rPr>
          <w:szCs w:val="22"/>
          <w:lang w:val="es-ES"/>
        </w:rPr>
        <w:t xml:space="preserve"> el </w:t>
      </w:r>
      <w:r w:rsidRPr="00481AEF">
        <w:rPr>
          <w:szCs w:val="22"/>
          <w:lang w:val="es-ES"/>
        </w:rPr>
        <w:t xml:space="preserve">día </w:t>
      </w:r>
      <w:r w:rsidR="00770F17" w:rsidRPr="00481AEF">
        <w:rPr>
          <w:rFonts w:ascii="Cambria" w:hAnsi="Cambria"/>
          <w:sz w:val="22"/>
          <w:szCs w:val="22"/>
          <w:lang w:val="es-ES"/>
        </w:rPr>
        <w:t>[</w:t>
      </w:r>
      <w:r w:rsidR="00770F17" w:rsidRPr="00481AEF">
        <w:rPr>
          <w:rFonts w:asciiTheme="majorHAnsi" w:hAnsiTheme="majorHAnsi" w:cstheme="majorHAnsi"/>
          <w:sz w:val="22"/>
          <w:szCs w:val="22"/>
          <w:lang w:val="es-ES"/>
        </w:rPr>
        <w:t>●</w:t>
      </w:r>
      <w:r w:rsidR="00770F17" w:rsidRPr="00481AEF">
        <w:rPr>
          <w:rFonts w:ascii="Cambria" w:hAnsi="Cambria"/>
          <w:sz w:val="22"/>
          <w:szCs w:val="22"/>
          <w:lang w:val="es-ES"/>
        </w:rPr>
        <w:t>]</w:t>
      </w:r>
      <w:r w:rsidRPr="00481AEF">
        <w:rPr>
          <w:szCs w:val="22"/>
          <w:lang w:val="es-ES"/>
        </w:rPr>
        <w:t xml:space="preserve"> de </w:t>
      </w:r>
      <w:r w:rsidR="00770F17" w:rsidRPr="00481AEF">
        <w:rPr>
          <w:rFonts w:ascii="Cambria" w:hAnsi="Cambria"/>
          <w:sz w:val="22"/>
          <w:szCs w:val="22"/>
          <w:lang w:val="es-ES"/>
        </w:rPr>
        <w:t>[</w:t>
      </w:r>
      <w:r w:rsidR="00770F17" w:rsidRPr="00481AEF">
        <w:rPr>
          <w:rFonts w:asciiTheme="majorHAnsi" w:hAnsiTheme="majorHAnsi" w:cstheme="majorHAnsi"/>
          <w:sz w:val="22"/>
          <w:szCs w:val="22"/>
          <w:lang w:val="es-ES"/>
        </w:rPr>
        <w:t>●</w:t>
      </w:r>
      <w:r w:rsidR="00770F17" w:rsidRPr="00481AEF">
        <w:rPr>
          <w:rFonts w:ascii="Cambria" w:hAnsi="Cambria"/>
          <w:sz w:val="22"/>
          <w:szCs w:val="22"/>
          <w:lang w:val="es-ES"/>
        </w:rPr>
        <w:t>]</w:t>
      </w:r>
      <w:r w:rsidRPr="00481AEF">
        <w:rPr>
          <w:szCs w:val="22"/>
          <w:lang w:val="es-ES"/>
        </w:rPr>
        <w:t xml:space="preserve"> de </w:t>
      </w:r>
      <w:r w:rsidR="00770F17" w:rsidRPr="00481AEF">
        <w:rPr>
          <w:rFonts w:ascii="Cambria" w:hAnsi="Cambria"/>
          <w:sz w:val="22"/>
          <w:szCs w:val="22"/>
          <w:lang w:val="es-ES"/>
        </w:rPr>
        <w:t>[</w:t>
      </w:r>
      <w:r w:rsidR="00770F17" w:rsidRPr="00481AEF">
        <w:rPr>
          <w:rFonts w:asciiTheme="majorHAnsi" w:hAnsiTheme="majorHAnsi" w:cstheme="majorHAnsi"/>
          <w:sz w:val="22"/>
          <w:szCs w:val="22"/>
          <w:lang w:val="es-ES"/>
        </w:rPr>
        <w:t>●</w:t>
      </w:r>
      <w:r w:rsidR="00770F17" w:rsidRPr="00481AEF">
        <w:rPr>
          <w:rFonts w:ascii="Cambria" w:hAnsi="Cambria"/>
          <w:sz w:val="22"/>
          <w:szCs w:val="22"/>
          <w:lang w:val="es-ES"/>
        </w:rPr>
        <w:t>]</w:t>
      </w:r>
      <w:r w:rsidRPr="00481AEF">
        <w:rPr>
          <w:szCs w:val="22"/>
          <w:lang w:val="es-ES"/>
        </w:rPr>
        <w:t>]/el</w:t>
      </w:r>
      <w:r w:rsidRPr="00C21353">
        <w:rPr>
          <w:lang w:val="es-ES"/>
        </w:rPr>
        <w:t xml:space="preserve"> primer Día Hábil TARGET inmediatamente posterior a la Fecha de Cese Efectivo del EONIA</w:t>
      </w:r>
      <w:r w:rsidR="0061697D" w:rsidRPr="00C21353">
        <w:rPr>
          <w:rStyle w:val="Refdenotaalpie"/>
          <w:lang w:val="es-ES"/>
        </w:rPr>
        <w:footnoteReference w:id="2"/>
      </w:r>
      <w:r w:rsidRPr="00C21353">
        <w:rPr>
          <w:lang w:val="es-ES"/>
        </w:rPr>
        <w:t>]</w:t>
      </w:r>
      <w:permEnd w:id="1213072445"/>
      <w:r w:rsidRPr="00C21353">
        <w:rPr>
          <w:lang w:val="es-ES"/>
        </w:rPr>
        <w:t>.</w:t>
      </w:r>
    </w:p>
    <w:p w14:paraId="220F423A" w14:textId="7FDA8AC2" w:rsidR="00BA2E89" w:rsidRPr="00C21353" w:rsidRDefault="004F480F" w:rsidP="001573A3">
      <w:pPr>
        <w:pStyle w:val="Textoindependiente"/>
        <w:ind w:left="709" w:hanging="709"/>
        <w:rPr>
          <w:lang w:val="es-ES" w:eastAsia="en-US"/>
        </w:rPr>
      </w:pPr>
      <w:r w:rsidRPr="00C21353">
        <w:rPr>
          <w:lang w:val="es-ES" w:eastAsia="en-US"/>
        </w:rPr>
        <w:t>2.</w:t>
      </w:r>
      <w:r w:rsidRPr="00C21353">
        <w:rPr>
          <w:lang w:val="es-ES" w:eastAsia="en-US"/>
        </w:rPr>
        <w:tab/>
      </w:r>
      <w:r w:rsidR="00BA2E89" w:rsidRPr="00C21353">
        <w:rPr>
          <w:lang w:val="es-ES" w:eastAsia="en-US"/>
        </w:rPr>
        <w:t xml:space="preserve">Los términos que comiencen con mayúscula y no sean el comienzo de una oración o un nombre propio y no estén expresamente definidos en el presente Contrato, tendrán el significado que se les atribuye en el </w:t>
      </w:r>
      <w:r w:rsidR="00C71A2B" w:rsidRPr="00C21353">
        <w:rPr>
          <w:lang w:val="es-ES" w:eastAsia="en-US"/>
        </w:rPr>
        <w:t>A</w:t>
      </w:r>
      <w:r w:rsidR="003130F3" w:rsidRPr="00C21353">
        <w:rPr>
          <w:lang w:val="es-ES" w:eastAsia="en-US"/>
        </w:rPr>
        <w:t>péndice</w:t>
      </w:r>
      <w:r w:rsidR="00C71A2B" w:rsidRPr="00C21353">
        <w:rPr>
          <w:lang w:val="es-ES" w:eastAsia="en-US"/>
        </w:rPr>
        <w:t xml:space="preserve"> a este Contrato</w:t>
      </w:r>
      <w:r w:rsidR="001573A3">
        <w:rPr>
          <w:lang w:val="es-ES" w:eastAsia="en-US"/>
        </w:rPr>
        <w:t xml:space="preserve"> </w:t>
      </w:r>
      <w:r w:rsidR="00EB1448">
        <w:rPr>
          <w:lang w:val="es-ES" w:eastAsia="en-US"/>
        </w:rPr>
        <w:t>(</w:t>
      </w:r>
      <w:r w:rsidR="001573A3">
        <w:rPr>
          <w:lang w:val="es-ES" w:eastAsia="en-US"/>
        </w:rPr>
        <w:t>siendo igualmente de aplicación las reglas de sustitución previstas en el mismo</w:t>
      </w:r>
      <w:r w:rsidR="00EB1448">
        <w:rPr>
          <w:lang w:val="es-ES" w:eastAsia="en-US"/>
        </w:rPr>
        <w:t>)</w:t>
      </w:r>
      <w:r w:rsidR="00BA2E89" w:rsidRPr="001573A3">
        <w:rPr>
          <w:lang w:val="es-ES" w:eastAsia="en-US"/>
        </w:rPr>
        <w:t>.</w:t>
      </w:r>
    </w:p>
    <w:p w14:paraId="738C0035" w14:textId="488EAA4D" w:rsidR="00E40302" w:rsidRPr="00C21353" w:rsidRDefault="00DA554D" w:rsidP="004F4C04">
      <w:pPr>
        <w:pStyle w:val="Textoindependiente"/>
        <w:ind w:left="709" w:hanging="709"/>
        <w:rPr>
          <w:b/>
          <w:bCs/>
          <w:lang w:val="es-ES"/>
        </w:rPr>
      </w:pPr>
      <w:r w:rsidRPr="00C21353">
        <w:rPr>
          <w:b/>
          <w:bCs/>
          <w:lang w:val="es-ES"/>
        </w:rPr>
        <w:t>(II)</w:t>
      </w:r>
      <w:r w:rsidRPr="00C21353">
        <w:rPr>
          <w:b/>
          <w:bCs/>
          <w:lang w:val="es-ES"/>
        </w:rPr>
        <w:tab/>
      </w:r>
      <w:r w:rsidR="00E40302" w:rsidRPr="00C21353">
        <w:rPr>
          <w:b/>
          <w:bCs/>
          <w:lang w:val="es-ES"/>
        </w:rPr>
        <w:t>SUSTITUCIÓN</w:t>
      </w:r>
      <w:r w:rsidR="00083E7B" w:rsidRPr="00C21353">
        <w:rPr>
          <w:b/>
          <w:bCs/>
          <w:lang w:val="es-ES"/>
        </w:rPr>
        <w:t xml:space="preserve"> DE</w:t>
      </w:r>
      <w:r w:rsidR="009A62D3" w:rsidRPr="00C21353">
        <w:rPr>
          <w:b/>
          <w:bCs/>
          <w:lang w:val="es-ES"/>
        </w:rPr>
        <w:t xml:space="preserve">L EONIA </w:t>
      </w:r>
      <w:r w:rsidR="004F4C04">
        <w:rPr>
          <w:b/>
          <w:bCs/>
          <w:lang w:val="es-ES"/>
        </w:rPr>
        <w:t>[</w:t>
      </w:r>
      <w:r w:rsidR="00D44429" w:rsidRPr="00C21353">
        <w:rPr>
          <w:b/>
          <w:bCs/>
          <w:lang w:val="es-ES"/>
        </w:rPr>
        <w:t>Y COMPENSACIÓN</w:t>
      </w:r>
      <w:r w:rsidR="009A62D3" w:rsidRPr="00C21353">
        <w:rPr>
          <w:b/>
          <w:bCs/>
          <w:lang w:val="es-ES"/>
        </w:rPr>
        <w:t xml:space="preserve"> POR SUSTITUCIÓN</w:t>
      </w:r>
      <w:r w:rsidR="004F4C04">
        <w:rPr>
          <w:b/>
          <w:bCs/>
          <w:lang w:val="es-ES"/>
        </w:rPr>
        <w:t>]</w:t>
      </w:r>
    </w:p>
    <w:p w14:paraId="7FBBD320" w14:textId="174556EA" w:rsidR="00E623FB" w:rsidRPr="00C21353" w:rsidRDefault="00E40302" w:rsidP="004F480F">
      <w:pPr>
        <w:pStyle w:val="Textoindependiente"/>
        <w:ind w:left="709" w:hanging="709"/>
        <w:rPr>
          <w:b/>
          <w:bCs/>
          <w:lang w:val="es-ES"/>
        </w:rPr>
      </w:pPr>
      <w:r w:rsidRPr="00C21353">
        <w:rPr>
          <w:b/>
          <w:bCs/>
          <w:lang w:val="es-ES"/>
        </w:rPr>
        <w:t>1.</w:t>
      </w:r>
      <w:r w:rsidRPr="00C21353">
        <w:rPr>
          <w:b/>
          <w:bCs/>
          <w:lang w:val="es-ES"/>
        </w:rPr>
        <w:tab/>
      </w:r>
      <w:r w:rsidR="00083E7B" w:rsidRPr="00C21353">
        <w:rPr>
          <w:b/>
          <w:bCs/>
          <w:lang w:val="es-ES"/>
        </w:rPr>
        <w:t xml:space="preserve">Sustitución </w:t>
      </w:r>
      <w:r w:rsidR="00E623FB" w:rsidRPr="00C21353">
        <w:rPr>
          <w:b/>
          <w:bCs/>
          <w:lang w:val="es-ES"/>
        </w:rPr>
        <w:t xml:space="preserve">del </w:t>
      </w:r>
      <w:r w:rsidR="009A62D3" w:rsidRPr="00C21353">
        <w:rPr>
          <w:b/>
          <w:bCs/>
          <w:lang w:val="es-ES"/>
        </w:rPr>
        <w:t xml:space="preserve">EONIA como </w:t>
      </w:r>
      <w:r w:rsidR="00E623FB" w:rsidRPr="00C21353">
        <w:rPr>
          <w:b/>
          <w:bCs/>
          <w:lang w:val="es-ES"/>
        </w:rPr>
        <w:t>Tipo de Interés</w:t>
      </w:r>
    </w:p>
    <w:p w14:paraId="101CB35D" w14:textId="5A23FFA3" w:rsidR="005E6F72" w:rsidRPr="00C21353" w:rsidRDefault="00E623FB" w:rsidP="004F480F">
      <w:pPr>
        <w:pStyle w:val="AODocTxt"/>
        <w:spacing w:before="0" w:after="240" w:line="240" w:lineRule="auto"/>
        <w:ind w:left="708"/>
        <w:rPr>
          <w:color w:val="000000"/>
          <w:sz w:val="24"/>
          <w:szCs w:val="24"/>
          <w:lang w:val="es-ES"/>
        </w:rPr>
      </w:pPr>
      <w:r w:rsidRPr="00C21353">
        <w:rPr>
          <w:sz w:val="24"/>
          <w:szCs w:val="24"/>
          <w:lang w:val="es-ES"/>
        </w:rPr>
        <w:t>E</w:t>
      </w:r>
      <w:r w:rsidR="002222A7" w:rsidRPr="00C21353">
        <w:rPr>
          <w:sz w:val="24"/>
          <w:szCs w:val="24"/>
          <w:lang w:val="es-ES"/>
        </w:rPr>
        <w:t xml:space="preserve">l Tipo de Interés a los efectos de determinar </w:t>
      </w:r>
      <w:r w:rsidR="00803D75" w:rsidRPr="00C21353">
        <w:rPr>
          <w:sz w:val="24"/>
          <w:szCs w:val="24"/>
          <w:lang w:val="es-ES"/>
        </w:rPr>
        <w:t xml:space="preserve">el importe de cualesquiera Intereses pagaderos </w:t>
      </w:r>
      <w:r w:rsidR="002222A7" w:rsidRPr="00C21353">
        <w:rPr>
          <w:sz w:val="24"/>
          <w:szCs w:val="24"/>
          <w:lang w:val="es-ES"/>
        </w:rPr>
        <w:t xml:space="preserve">en relación con un Periodo de Interés que comience </w:t>
      </w:r>
      <w:r w:rsidR="004F480F" w:rsidRPr="00C21353">
        <w:rPr>
          <w:sz w:val="24"/>
          <w:szCs w:val="24"/>
          <w:lang w:val="es-ES"/>
        </w:rPr>
        <w:t xml:space="preserve">en, o después de, la </w:t>
      </w:r>
      <w:r w:rsidR="002222A7" w:rsidRPr="00C21353">
        <w:rPr>
          <w:sz w:val="24"/>
          <w:szCs w:val="24"/>
          <w:lang w:val="es-ES"/>
        </w:rPr>
        <w:t>Fecha Relevante</w:t>
      </w:r>
      <w:r w:rsidR="004F480F" w:rsidRPr="00C21353">
        <w:rPr>
          <w:sz w:val="24"/>
          <w:szCs w:val="24"/>
          <w:lang w:val="es-ES"/>
        </w:rPr>
        <w:t xml:space="preserve"> </w:t>
      </w:r>
      <w:r w:rsidR="002222A7" w:rsidRPr="00C21353">
        <w:rPr>
          <w:sz w:val="24"/>
          <w:szCs w:val="24"/>
          <w:lang w:val="es-ES"/>
        </w:rPr>
        <w:t>será el</w:t>
      </w:r>
      <w:r w:rsidRPr="00C21353">
        <w:rPr>
          <w:sz w:val="24"/>
          <w:szCs w:val="24"/>
          <w:lang w:val="es-ES"/>
        </w:rPr>
        <w:t xml:space="preserve"> </w:t>
      </w:r>
      <w:permStart w:id="2127460419" w:edGrp="everyone"/>
      <w:r w:rsidRPr="00C21353">
        <w:rPr>
          <w:sz w:val="24"/>
          <w:szCs w:val="24"/>
          <w:lang w:val="es-ES"/>
        </w:rPr>
        <w:t>[</w:t>
      </w:r>
      <w:bookmarkStart w:id="1" w:name="_Hlk43058742"/>
      <w:r w:rsidR="007C447C">
        <w:rPr>
          <w:sz w:val="24"/>
          <w:szCs w:val="24"/>
          <w:lang w:val="es-ES"/>
        </w:rPr>
        <w:t>"</w:t>
      </w:r>
      <w:bookmarkEnd w:id="1"/>
      <w:r w:rsidR="00803D75" w:rsidRPr="00C21353">
        <w:rPr>
          <w:sz w:val="24"/>
          <w:szCs w:val="24"/>
          <w:lang w:val="es-ES"/>
        </w:rPr>
        <w:t>EuroSTR (Tipo para Colateral)</w:t>
      </w:r>
      <w:r w:rsidR="007C447C">
        <w:rPr>
          <w:sz w:val="24"/>
          <w:szCs w:val="24"/>
          <w:lang w:val="es-ES"/>
        </w:rPr>
        <w:t>"</w:t>
      </w:r>
      <w:r w:rsidR="009A62D3" w:rsidRPr="00C21353">
        <w:rPr>
          <w:sz w:val="24"/>
          <w:szCs w:val="24"/>
          <w:lang w:val="es-ES"/>
        </w:rPr>
        <w:t>/</w:t>
      </w:r>
      <w:r w:rsidR="007C447C">
        <w:rPr>
          <w:sz w:val="24"/>
          <w:szCs w:val="24"/>
          <w:lang w:val="es-ES"/>
        </w:rPr>
        <w:t>"</w:t>
      </w:r>
      <w:r w:rsidRPr="00C21353">
        <w:rPr>
          <w:color w:val="000000"/>
          <w:sz w:val="24"/>
          <w:szCs w:val="24"/>
          <w:lang w:val="es-ES"/>
        </w:rPr>
        <w:t>EONIA (Tipo para Colatera</w:t>
      </w:r>
      <w:r w:rsidRPr="00481AEF">
        <w:rPr>
          <w:color w:val="000000"/>
          <w:sz w:val="24"/>
          <w:szCs w:val="24"/>
          <w:lang w:val="es-ES"/>
        </w:rPr>
        <w:t>l</w:t>
      </w:r>
      <w:r w:rsidR="007C447C" w:rsidRPr="00481AEF">
        <w:rPr>
          <w:sz w:val="24"/>
          <w:szCs w:val="24"/>
          <w:lang w:val="es-ES"/>
        </w:rPr>
        <w:t>"</w:t>
      </w:r>
      <w:r w:rsidRPr="00481AEF">
        <w:rPr>
          <w:color w:val="000000"/>
          <w:sz w:val="24"/>
          <w:szCs w:val="24"/>
          <w:lang w:val="es-ES"/>
        </w:rPr>
        <w:t>)]</w:t>
      </w:r>
      <w:r w:rsidR="00BF65BC" w:rsidRPr="00481AEF">
        <w:rPr>
          <w:rStyle w:val="Refdenotaalpie"/>
          <w:color w:val="000000"/>
          <w:lang w:val="es-ES"/>
        </w:rPr>
        <w:footnoteReference w:id="3"/>
      </w:r>
      <w:r w:rsidR="005E6F72" w:rsidRPr="00481AEF">
        <w:rPr>
          <w:color w:val="000000"/>
          <w:sz w:val="24"/>
          <w:szCs w:val="24"/>
          <w:lang w:val="es-ES"/>
        </w:rPr>
        <w:t>.</w:t>
      </w:r>
      <w:permEnd w:id="2127460419"/>
    </w:p>
    <w:p w14:paraId="67A5C68B" w14:textId="77777777" w:rsidR="00BB5A4D" w:rsidRDefault="00BB5A4D" w:rsidP="00BF65BC">
      <w:pPr>
        <w:pStyle w:val="Textoindependiente"/>
        <w:ind w:left="709"/>
        <w:rPr>
          <w:b/>
          <w:bCs/>
          <w:i/>
          <w:iCs/>
          <w:lang w:val="es-ES"/>
        </w:rPr>
      </w:pPr>
    </w:p>
    <w:p w14:paraId="0B850E1D" w14:textId="2A85BCB9" w:rsidR="00BF65BC" w:rsidRPr="00C21353" w:rsidRDefault="00BF65BC" w:rsidP="00BF65BC">
      <w:pPr>
        <w:pStyle w:val="Textoindependiente"/>
        <w:ind w:left="709"/>
        <w:rPr>
          <w:i/>
          <w:iCs/>
          <w:lang w:val="es-ES"/>
        </w:rPr>
      </w:pPr>
      <w:permStart w:id="1999049044" w:edGrp="everyone"/>
      <w:r w:rsidRPr="00C21353">
        <w:rPr>
          <w:b/>
          <w:bCs/>
          <w:i/>
          <w:iCs/>
          <w:lang w:val="es-ES"/>
        </w:rPr>
        <w:lastRenderedPageBreak/>
        <w:t>Opción A</w:t>
      </w:r>
    </w:p>
    <w:p w14:paraId="50F4EBCA" w14:textId="04F58BF7" w:rsidR="002222A7" w:rsidRPr="00C21353" w:rsidRDefault="005E6F72" w:rsidP="004F480F">
      <w:pPr>
        <w:pStyle w:val="AODocTxt"/>
        <w:spacing w:before="0" w:after="240" w:line="240" w:lineRule="auto"/>
        <w:ind w:left="708"/>
        <w:rPr>
          <w:i/>
          <w:iCs/>
          <w:sz w:val="24"/>
          <w:szCs w:val="24"/>
          <w:lang w:val="es-ES"/>
        </w:rPr>
      </w:pPr>
      <w:r w:rsidRPr="00C21353">
        <w:rPr>
          <w:color w:val="000000"/>
          <w:sz w:val="24"/>
          <w:szCs w:val="24"/>
          <w:lang w:val="es-ES"/>
        </w:rPr>
        <w:t>S</w:t>
      </w:r>
      <w:r w:rsidR="00803D75" w:rsidRPr="00C21353">
        <w:rPr>
          <w:color w:val="000000"/>
          <w:sz w:val="24"/>
          <w:szCs w:val="24"/>
          <w:lang w:val="es-ES"/>
        </w:rPr>
        <w:t>i</w:t>
      </w:r>
      <w:r w:rsidR="002222A7" w:rsidRPr="00C21353">
        <w:rPr>
          <w:sz w:val="24"/>
          <w:szCs w:val="24"/>
          <w:lang w:val="es-ES"/>
        </w:rPr>
        <w:t xml:space="preserve"> la </w:t>
      </w:r>
      <w:r w:rsidR="007D5787" w:rsidRPr="00C21353">
        <w:rPr>
          <w:sz w:val="24"/>
          <w:szCs w:val="24"/>
          <w:lang w:val="es-ES"/>
        </w:rPr>
        <w:t xml:space="preserve">Fecha Relevante </w:t>
      </w:r>
      <w:r w:rsidR="002222A7" w:rsidRPr="00C21353">
        <w:rPr>
          <w:sz w:val="24"/>
          <w:szCs w:val="24"/>
          <w:lang w:val="es-ES"/>
        </w:rPr>
        <w:t xml:space="preserve">fuese posterior a la fecha de comienzo de un período respecto del cual deba calcularse un </w:t>
      </w:r>
      <w:r w:rsidR="00803D75" w:rsidRPr="00C21353">
        <w:rPr>
          <w:sz w:val="24"/>
          <w:szCs w:val="24"/>
          <w:lang w:val="es-ES"/>
        </w:rPr>
        <w:t xml:space="preserve">importe de Intereses </w:t>
      </w:r>
      <w:r w:rsidR="002222A7" w:rsidRPr="00C21353">
        <w:rPr>
          <w:sz w:val="24"/>
          <w:szCs w:val="24"/>
          <w:lang w:val="es-ES"/>
        </w:rPr>
        <w:t xml:space="preserve">pero anterior a la fecha de finalización del mismo, entonces dicho </w:t>
      </w:r>
      <w:r w:rsidR="00803D75" w:rsidRPr="00C21353">
        <w:rPr>
          <w:sz w:val="24"/>
          <w:szCs w:val="24"/>
          <w:lang w:val="es-ES"/>
        </w:rPr>
        <w:t xml:space="preserve">importe </w:t>
      </w:r>
      <w:r w:rsidR="002222A7" w:rsidRPr="00C21353">
        <w:rPr>
          <w:sz w:val="24"/>
          <w:szCs w:val="24"/>
          <w:lang w:val="es-ES"/>
        </w:rPr>
        <w:t xml:space="preserve">se calculará con respecto a cada día de dicho período </w:t>
      </w:r>
      <w:r w:rsidR="00E623FB" w:rsidRPr="00C21353">
        <w:rPr>
          <w:sz w:val="24"/>
          <w:szCs w:val="24"/>
          <w:lang w:val="es-ES"/>
        </w:rPr>
        <w:t xml:space="preserve">a partir de la </w:t>
      </w:r>
      <w:r w:rsidR="007D5787" w:rsidRPr="00C21353">
        <w:rPr>
          <w:sz w:val="24"/>
          <w:szCs w:val="24"/>
          <w:lang w:val="es-ES"/>
        </w:rPr>
        <w:t xml:space="preserve">Fecha Relevante </w:t>
      </w:r>
      <w:r w:rsidR="00E623FB" w:rsidRPr="00C21353">
        <w:rPr>
          <w:sz w:val="24"/>
          <w:szCs w:val="24"/>
          <w:lang w:val="es-ES"/>
        </w:rPr>
        <w:t>(</w:t>
      </w:r>
      <w:r w:rsidR="0020565F">
        <w:rPr>
          <w:sz w:val="24"/>
          <w:szCs w:val="24"/>
          <w:lang w:val="es-ES"/>
        </w:rPr>
        <w:t>[</w:t>
      </w:r>
      <w:r w:rsidR="00E623FB" w:rsidRPr="00C21353">
        <w:rPr>
          <w:sz w:val="24"/>
          <w:szCs w:val="24"/>
          <w:lang w:val="es-ES"/>
        </w:rPr>
        <w:t>incluida</w:t>
      </w:r>
      <w:r w:rsidR="0020565F">
        <w:rPr>
          <w:sz w:val="24"/>
          <w:szCs w:val="24"/>
          <w:lang w:val="es-ES"/>
        </w:rPr>
        <w:t>/excluida</w:t>
      </w:r>
      <w:r w:rsidR="0020565F" w:rsidRPr="00EB1448">
        <w:rPr>
          <w:sz w:val="24"/>
          <w:szCs w:val="24"/>
          <w:lang w:val="es-ES"/>
        </w:rPr>
        <w:t>])</w:t>
      </w:r>
      <w:r w:rsidR="0061697D" w:rsidRPr="00EB1448">
        <w:rPr>
          <w:rStyle w:val="Refdenotaalpie"/>
          <w:lang w:val="es-ES"/>
        </w:rPr>
        <w:footnoteReference w:id="4"/>
      </w:r>
      <w:r w:rsidR="002222A7" w:rsidRPr="00EB1448">
        <w:rPr>
          <w:sz w:val="24"/>
          <w:szCs w:val="24"/>
          <w:lang w:val="es-ES"/>
        </w:rPr>
        <w:t xml:space="preserve"> utilizando</w:t>
      </w:r>
      <w:r w:rsidR="002222A7" w:rsidRPr="00C21353">
        <w:rPr>
          <w:sz w:val="24"/>
          <w:szCs w:val="24"/>
          <w:lang w:val="es-ES"/>
        </w:rPr>
        <w:t xml:space="preserve"> el </w:t>
      </w:r>
      <w:r w:rsidR="00E623FB" w:rsidRPr="00C21353">
        <w:rPr>
          <w:sz w:val="24"/>
          <w:szCs w:val="24"/>
          <w:lang w:val="es-ES"/>
        </w:rPr>
        <w:t>[</w:t>
      </w:r>
      <w:r w:rsidR="007C447C">
        <w:rPr>
          <w:sz w:val="24"/>
          <w:szCs w:val="24"/>
          <w:lang w:val="es-ES"/>
        </w:rPr>
        <w:t>"</w:t>
      </w:r>
      <w:r w:rsidR="00E623FB" w:rsidRPr="00C21353">
        <w:rPr>
          <w:sz w:val="24"/>
          <w:szCs w:val="24"/>
          <w:lang w:val="es-ES"/>
        </w:rPr>
        <w:t>EuroSTR (Tipo para Colateral)</w:t>
      </w:r>
      <w:r w:rsidR="007C447C">
        <w:rPr>
          <w:sz w:val="24"/>
          <w:szCs w:val="24"/>
          <w:lang w:val="es-ES"/>
        </w:rPr>
        <w:t>"</w:t>
      </w:r>
      <w:r w:rsidR="00E623FB" w:rsidRPr="00C21353">
        <w:rPr>
          <w:color w:val="000000"/>
          <w:sz w:val="24"/>
          <w:szCs w:val="24"/>
          <w:lang w:val="es-ES"/>
        </w:rPr>
        <w:t>/</w:t>
      </w:r>
      <w:r w:rsidR="007C447C">
        <w:rPr>
          <w:sz w:val="24"/>
          <w:szCs w:val="24"/>
          <w:lang w:val="es-ES"/>
        </w:rPr>
        <w:t>"</w:t>
      </w:r>
      <w:r w:rsidR="00E623FB" w:rsidRPr="00C21353">
        <w:rPr>
          <w:color w:val="000000"/>
          <w:sz w:val="24"/>
          <w:szCs w:val="24"/>
          <w:lang w:val="es-ES"/>
        </w:rPr>
        <w:t>EONIA (Tipo para Colateral)</w:t>
      </w:r>
      <w:r w:rsidR="007C447C">
        <w:rPr>
          <w:sz w:val="24"/>
          <w:szCs w:val="24"/>
          <w:lang w:val="es-ES"/>
        </w:rPr>
        <w:t>"</w:t>
      </w:r>
      <w:r w:rsidR="00E623FB" w:rsidRPr="00C21353">
        <w:rPr>
          <w:color w:val="000000"/>
          <w:sz w:val="24"/>
          <w:szCs w:val="24"/>
          <w:lang w:val="es-ES"/>
        </w:rPr>
        <w:t>]</w:t>
      </w:r>
      <w:r w:rsidR="00DE4D2D" w:rsidRPr="00C21353">
        <w:rPr>
          <w:color w:val="000000"/>
          <w:sz w:val="24"/>
          <w:szCs w:val="24"/>
          <w:lang w:val="es-ES"/>
        </w:rPr>
        <w:t>.</w:t>
      </w:r>
    </w:p>
    <w:p w14:paraId="3D300ECE" w14:textId="5E639638" w:rsidR="00E623FB" w:rsidRPr="00C21353" w:rsidRDefault="00E623FB" w:rsidP="004F480F">
      <w:pPr>
        <w:pStyle w:val="AODocTxt"/>
        <w:spacing w:before="0" w:after="240" w:line="240" w:lineRule="auto"/>
        <w:ind w:left="708"/>
        <w:rPr>
          <w:b/>
          <w:bCs/>
          <w:i/>
          <w:iCs/>
          <w:sz w:val="24"/>
          <w:szCs w:val="24"/>
          <w:lang w:val="es-ES"/>
        </w:rPr>
      </w:pPr>
      <w:r w:rsidRPr="00C21353">
        <w:rPr>
          <w:b/>
          <w:bCs/>
          <w:i/>
          <w:iCs/>
          <w:sz w:val="24"/>
          <w:szCs w:val="24"/>
          <w:lang w:val="es-ES"/>
        </w:rPr>
        <w:t xml:space="preserve">Opción </w:t>
      </w:r>
      <w:r w:rsidR="00DE4D2D" w:rsidRPr="00C21353">
        <w:rPr>
          <w:b/>
          <w:bCs/>
          <w:i/>
          <w:iCs/>
          <w:sz w:val="24"/>
          <w:szCs w:val="24"/>
          <w:lang w:val="es-ES"/>
        </w:rPr>
        <w:t>B</w:t>
      </w:r>
    </w:p>
    <w:p w14:paraId="2D86D9C8" w14:textId="4DDBD134" w:rsidR="00DE4D2D" w:rsidRDefault="00BF65BC" w:rsidP="004F480F">
      <w:pPr>
        <w:pStyle w:val="AODocTxt"/>
        <w:spacing w:before="0" w:after="240" w:line="240" w:lineRule="auto"/>
        <w:ind w:left="708"/>
        <w:rPr>
          <w:color w:val="000000"/>
          <w:sz w:val="24"/>
          <w:szCs w:val="24"/>
          <w:lang w:val="es-ES"/>
        </w:rPr>
      </w:pPr>
      <w:r w:rsidRPr="00C21353">
        <w:rPr>
          <w:color w:val="000000"/>
          <w:sz w:val="24"/>
          <w:szCs w:val="24"/>
          <w:lang w:val="es-ES"/>
        </w:rPr>
        <w:t>S</w:t>
      </w:r>
      <w:r w:rsidR="00DE4D2D" w:rsidRPr="00C21353">
        <w:rPr>
          <w:color w:val="000000"/>
          <w:sz w:val="24"/>
          <w:szCs w:val="24"/>
          <w:lang w:val="es-ES"/>
        </w:rPr>
        <w:t>i</w:t>
      </w:r>
      <w:r w:rsidR="00DE4D2D" w:rsidRPr="00C21353">
        <w:rPr>
          <w:sz w:val="24"/>
          <w:szCs w:val="24"/>
          <w:lang w:val="es-ES"/>
        </w:rPr>
        <w:t xml:space="preserve"> la </w:t>
      </w:r>
      <w:r w:rsidR="007D5787" w:rsidRPr="00C21353">
        <w:rPr>
          <w:sz w:val="24"/>
          <w:szCs w:val="24"/>
          <w:lang w:val="es-ES"/>
        </w:rPr>
        <w:t xml:space="preserve">Fecha Relevante </w:t>
      </w:r>
      <w:r w:rsidR="00DE4D2D" w:rsidRPr="00C21353">
        <w:rPr>
          <w:sz w:val="24"/>
          <w:szCs w:val="24"/>
          <w:lang w:val="es-ES"/>
        </w:rPr>
        <w:t xml:space="preserve">fuese posterior a la fecha de comienzo de un período respecto del cual deba calcularse un importe de Intereses pero anterior a la fecha de finalización del mismo, entonces dicho importe se calculará con respecto a cada día de dicho período, </w:t>
      </w:r>
      <w:r w:rsidRPr="00C21353">
        <w:rPr>
          <w:sz w:val="24"/>
          <w:szCs w:val="24"/>
          <w:lang w:val="es-ES"/>
        </w:rPr>
        <w:t xml:space="preserve">ya sea </w:t>
      </w:r>
      <w:r w:rsidR="00DE4D2D" w:rsidRPr="00C21353">
        <w:rPr>
          <w:sz w:val="24"/>
          <w:szCs w:val="24"/>
          <w:lang w:val="es-ES"/>
        </w:rPr>
        <w:t xml:space="preserve">anterior o posterior a la </w:t>
      </w:r>
      <w:r w:rsidR="007D5787" w:rsidRPr="00C21353">
        <w:rPr>
          <w:sz w:val="24"/>
          <w:szCs w:val="24"/>
          <w:lang w:val="es-ES"/>
        </w:rPr>
        <w:t>Fecha Relevante</w:t>
      </w:r>
      <w:r w:rsidR="00DE4D2D" w:rsidRPr="00C21353">
        <w:rPr>
          <w:sz w:val="24"/>
          <w:szCs w:val="24"/>
          <w:lang w:val="es-ES"/>
        </w:rPr>
        <w:t>, utilizando el [</w:t>
      </w:r>
      <w:r w:rsidR="007C447C">
        <w:rPr>
          <w:sz w:val="24"/>
          <w:szCs w:val="24"/>
          <w:lang w:val="es-ES"/>
        </w:rPr>
        <w:t>"</w:t>
      </w:r>
      <w:r w:rsidR="00DE4D2D" w:rsidRPr="00C21353">
        <w:rPr>
          <w:sz w:val="24"/>
          <w:szCs w:val="24"/>
          <w:lang w:val="es-ES"/>
        </w:rPr>
        <w:t>EuroSTR (Tipo para Colateral)</w:t>
      </w:r>
      <w:r w:rsidR="007C447C">
        <w:rPr>
          <w:sz w:val="24"/>
          <w:szCs w:val="24"/>
          <w:lang w:val="es-ES"/>
        </w:rPr>
        <w:t>"</w:t>
      </w:r>
      <w:r w:rsidR="00D44429" w:rsidRPr="00C21353">
        <w:rPr>
          <w:color w:val="000000"/>
          <w:sz w:val="24"/>
          <w:szCs w:val="24"/>
          <w:lang w:val="es-ES"/>
        </w:rPr>
        <w:t>/</w:t>
      </w:r>
      <w:r w:rsidR="007C447C">
        <w:rPr>
          <w:sz w:val="24"/>
          <w:szCs w:val="24"/>
          <w:lang w:val="es-ES"/>
        </w:rPr>
        <w:t>"</w:t>
      </w:r>
      <w:r w:rsidR="00DE4D2D" w:rsidRPr="00C21353">
        <w:rPr>
          <w:color w:val="000000"/>
          <w:sz w:val="24"/>
          <w:szCs w:val="24"/>
          <w:lang w:val="es-ES"/>
        </w:rPr>
        <w:t>EONIA (Tipo para Colateral)</w:t>
      </w:r>
      <w:r w:rsidR="007C447C">
        <w:rPr>
          <w:sz w:val="24"/>
          <w:szCs w:val="24"/>
          <w:lang w:val="es-ES"/>
        </w:rPr>
        <w:t>"</w:t>
      </w:r>
      <w:r w:rsidR="00DE4D2D" w:rsidRPr="00C21353">
        <w:rPr>
          <w:color w:val="000000"/>
          <w:sz w:val="24"/>
          <w:szCs w:val="24"/>
          <w:lang w:val="es-ES"/>
        </w:rPr>
        <w:t>].</w:t>
      </w:r>
    </w:p>
    <w:p w14:paraId="2032BC62" w14:textId="6FFC137D" w:rsidR="00866F3D" w:rsidRDefault="00866F3D" w:rsidP="004F480F">
      <w:pPr>
        <w:pStyle w:val="AODocTxt"/>
        <w:spacing w:before="0" w:after="240" w:line="240" w:lineRule="auto"/>
        <w:ind w:left="708"/>
        <w:rPr>
          <w:b/>
          <w:bCs/>
          <w:i/>
          <w:iCs/>
          <w:color w:val="000000"/>
          <w:sz w:val="24"/>
          <w:szCs w:val="24"/>
          <w:lang w:val="es-ES"/>
        </w:rPr>
      </w:pPr>
      <w:r w:rsidRPr="00866F3D">
        <w:rPr>
          <w:b/>
          <w:bCs/>
          <w:i/>
          <w:iCs/>
          <w:color w:val="000000"/>
          <w:sz w:val="24"/>
          <w:szCs w:val="24"/>
          <w:lang w:val="es-ES"/>
        </w:rPr>
        <w:t>Opción C</w:t>
      </w:r>
    </w:p>
    <w:p w14:paraId="5E9DD02E" w14:textId="46D6D3AB" w:rsidR="00A4377B" w:rsidRPr="00624493" w:rsidRDefault="00A4377B" w:rsidP="00A4377B">
      <w:pPr>
        <w:pStyle w:val="AODocTxt"/>
        <w:spacing w:before="0" w:after="240" w:line="240" w:lineRule="auto"/>
        <w:ind w:left="708"/>
        <w:rPr>
          <w:color w:val="000000"/>
          <w:sz w:val="24"/>
          <w:szCs w:val="24"/>
          <w:lang w:val="es-ES"/>
        </w:rPr>
      </w:pPr>
      <w:r w:rsidRPr="00624493">
        <w:rPr>
          <w:rFonts w:eastAsia="Times New Roman"/>
          <w:color w:val="000000"/>
          <w:sz w:val="24"/>
          <w:szCs w:val="24"/>
          <w:lang w:val="es-ES" w:eastAsia="es-ES"/>
        </w:rPr>
        <w:t>Si</w:t>
      </w:r>
      <w:r w:rsidRPr="00624493">
        <w:rPr>
          <w:rFonts w:eastAsia="Times New Roman"/>
          <w:sz w:val="24"/>
          <w:szCs w:val="24"/>
          <w:lang w:val="es-ES" w:eastAsia="es-ES"/>
        </w:rPr>
        <w:t xml:space="preserve"> la Fecha Relevante fuese posterior a la fecha de comienzo de un período respecto del cual deba calcularse un importe de Intereses pero anterior a la fecha de finalización del mismo, entonces dicho importe calculará con respecto a cada día de dicho periodo empleando el Tipo de Interés vigente al comienzo del mismo y el </w:t>
      </w:r>
      <w:r w:rsidRPr="00624493">
        <w:rPr>
          <w:sz w:val="24"/>
          <w:szCs w:val="24"/>
          <w:lang w:val="es-ES"/>
        </w:rPr>
        <w:t>["EuroSTR (Tipo para Colateral)"</w:t>
      </w:r>
      <w:r w:rsidRPr="00624493">
        <w:rPr>
          <w:color w:val="000000"/>
          <w:sz w:val="24"/>
          <w:szCs w:val="24"/>
          <w:lang w:val="es-ES"/>
        </w:rPr>
        <w:t>/</w:t>
      </w:r>
      <w:r w:rsidRPr="00624493">
        <w:rPr>
          <w:sz w:val="24"/>
          <w:szCs w:val="24"/>
          <w:lang w:val="es-ES"/>
        </w:rPr>
        <w:t>"</w:t>
      </w:r>
      <w:r w:rsidRPr="00624493">
        <w:rPr>
          <w:color w:val="000000"/>
          <w:sz w:val="24"/>
          <w:szCs w:val="24"/>
          <w:lang w:val="es-ES"/>
        </w:rPr>
        <w:t>EONIA (Tipo para Colateral)</w:t>
      </w:r>
      <w:r w:rsidRPr="00624493">
        <w:rPr>
          <w:sz w:val="24"/>
          <w:szCs w:val="24"/>
          <w:lang w:val="es-ES"/>
        </w:rPr>
        <w:t>"</w:t>
      </w:r>
      <w:r w:rsidRPr="00624493">
        <w:rPr>
          <w:color w:val="000000"/>
          <w:sz w:val="24"/>
          <w:szCs w:val="24"/>
          <w:lang w:val="es-ES"/>
        </w:rPr>
        <w:t xml:space="preserve">] </w:t>
      </w:r>
      <w:r w:rsidR="00624493">
        <w:rPr>
          <w:color w:val="000000"/>
          <w:sz w:val="24"/>
          <w:szCs w:val="24"/>
          <w:lang w:val="es-ES"/>
        </w:rPr>
        <w:t xml:space="preserve">sólo </w:t>
      </w:r>
      <w:r w:rsidRPr="00624493">
        <w:rPr>
          <w:color w:val="000000"/>
          <w:sz w:val="24"/>
          <w:szCs w:val="24"/>
          <w:lang w:val="es-ES"/>
        </w:rPr>
        <w:t xml:space="preserve">será de aplicación a partir del siguiente Periodo de Intereses (inclusive). </w:t>
      </w:r>
    </w:p>
    <w:permEnd w:id="1999049044"/>
    <w:p w14:paraId="2873D195" w14:textId="3D922E1E" w:rsidR="007C4134" w:rsidRPr="00C21353" w:rsidRDefault="00866F3D" w:rsidP="007C4134">
      <w:pPr>
        <w:pStyle w:val="AODocTxt"/>
        <w:spacing w:before="0" w:after="240" w:line="240" w:lineRule="auto"/>
        <w:rPr>
          <w:b/>
          <w:bCs/>
          <w:sz w:val="24"/>
          <w:szCs w:val="24"/>
          <w:lang w:val="es-ES"/>
        </w:rPr>
      </w:pPr>
      <w:r>
        <w:rPr>
          <w:b/>
          <w:bCs/>
          <w:sz w:val="24"/>
          <w:szCs w:val="24"/>
          <w:lang w:val="es-ES"/>
        </w:rPr>
        <w:t>[</w:t>
      </w:r>
      <w:r w:rsidR="0020565F">
        <w:rPr>
          <w:b/>
          <w:bCs/>
          <w:sz w:val="24"/>
          <w:szCs w:val="24"/>
          <w:lang w:val="es-ES"/>
        </w:rPr>
        <w:t>2</w:t>
      </w:r>
      <w:r w:rsidR="00D44429" w:rsidRPr="00C21353">
        <w:rPr>
          <w:b/>
          <w:bCs/>
          <w:sz w:val="24"/>
          <w:szCs w:val="24"/>
          <w:lang w:val="es-ES"/>
        </w:rPr>
        <w:t>.</w:t>
      </w:r>
      <w:r w:rsidR="00D44429" w:rsidRPr="00C21353">
        <w:rPr>
          <w:b/>
          <w:bCs/>
          <w:sz w:val="24"/>
          <w:szCs w:val="24"/>
          <w:lang w:val="es-ES"/>
        </w:rPr>
        <w:tab/>
        <w:t>Compensación</w:t>
      </w:r>
      <w:r w:rsidR="00BA2E89" w:rsidRPr="00C21353">
        <w:rPr>
          <w:b/>
          <w:bCs/>
          <w:sz w:val="24"/>
          <w:szCs w:val="24"/>
          <w:lang w:val="es-ES"/>
        </w:rPr>
        <w:t xml:space="preserve"> </w:t>
      </w:r>
      <w:r w:rsidR="00BA2E89" w:rsidRPr="00624493">
        <w:rPr>
          <w:b/>
          <w:bCs/>
          <w:sz w:val="24"/>
          <w:szCs w:val="24"/>
          <w:lang w:val="es-ES"/>
        </w:rPr>
        <w:t>por sustitución</w:t>
      </w:r>
      <w:r w:rsidRPr="00624493">
        <w:rPr>
          <w:rStyle w:val="Refdenotaalpie"/>
          <w:lang w:val="es-ES"/>
        </w:rPr>
        <w:footnoteReference w:id="5"/>
      </w:r>
      <w:r w:rsidR="00D44429" w:rsidRPr="00C21353">
        <w:rPr>
          <w:b/>
          <w:bCs/>
          <w:sz w:val="24"/>
          <w:szCs w:val="24"/>
          <w:lang w:val="es-ES"/>
        </w:rPr>
        <w:tab/>
      </w:r>
    </w:p>
    <w:p w14:paraId="6674466E" w14:textId="411DD48C" w:rsidR="00C71A2B" w:rsidRPr="00C21353" w:rsidRDefault="00C3601F" w:rsidP="007C4134">
      <w:pPr>
        <w:pStyle w:val="AODocTxt"/>
        <w:spacing w:before="0" w:after="240" w:line="240" w:lineRule="auto"/>
        <w:rPr>
          <w:sz w:val="24"/>
          <w:szCs w:val="24"/>
          <w:lang w:val="es-ES"/>
        </w:rPr>
      </w:pPr>
      <w:r w:rsidRPr="00C21353">
        <w:rPr>
          <w:sz w:val="24"/>
          <w:szCs w:val="24"/>
          <w:lang w:val="es-ES"/>
        </w:rPr>
        <w:t>En consideración a l</w:t>
      </w:r>
      <w:r w:rsidR="00D44429" w:rsidRPr="00C21353">
        <w:rPr>
          <w:sz w:val="24"/>
          <w:szCs w:val="24"/>
          <w:lang w:val="es-ES"/>
        </w:rPr>
        <w:t>a sustitución efectuada en virtud del presente Acuerdo</w:t>
      </w:r>
      <w:r w:rsidRPr="00C21353">
        <w:rPr>
          <w:sz w:val="24"/>
          <w:szCs w:val="24"/>
          <w:lang w:val="es-ES"/>
        </w:rPr>
        <w:t>,</w:t>
      </w:r>
    </w:p>
    <w:p w14:paraId="6DCC114A" w14:textId="5D09EAC7" w:rsidR="00C71A2B" w:rsidRPr="00C21353" w:rsidRDefault="00BA2E89" w:rsidP="004F480F">
      <w:pPr>
        <w:pStyle w:val="AODocTxt"/>
        <w:spacing w:before="0" w:after="240" w:line="240" w:lineRule="auto"/>
        <w:ind w:firstLine="708"/>
        <w:rPr>
          <w:b/>
          <w:bCs/>
          <w:i/>
          <w:iCs/>
          <w:sz w:val="24"/>
          <w:szCs w:val="24"/>
          <w:lang w:val="es-ES"/>
        </w:rPr>
      </w:pPr>
      <w:r w:rsidRPr="00C21353">
        <w:rPr>
          <w:sz w:val="24"/>
          <w:szCs w:val="24"/>
          <w:lang w:val="es-ES"/>
        </w:rPr>
        <w:t>[</w:t>
      </w:r>
      <w:permStart w:id="1171395996" w:edGrp="everyone"/>
      <w:r w:rsidR="001C4C48" w:rsidRPr="00C21353">
        <w:rPr>
          <w:b/>
          <w:bCs/>
          <w:i/>
          <w:iCs/>
          <w:sz w:val="24"/>
          <w:szCs w:val="24"/>
          <w:lang w:val="es-ES"/>
        </w:rPr>
        <w:t>Opción A</w:t>
      </w:r>
    </w:p>
    <w:p w14:paraId="6319A968" w14:textId="0687164C" w:rsidR="00C71A2B" w:rsidRPr="00C21353" w:rsidRDefault="00C3601F" w:rsidP="004F480F">
      <w:pPr>
        <w:pStyle w:val="AODocTxt"/>
        <w:spacing w:before="0" w:after="240" w:line="240" w:lineRule="auto"/>
        <w:ind w:left="1416"/>
        <w:rPr>
          <w:sz w:val="24"/>
          <w:szCs w:val="24"/>
          <w:lang w:val="es-ES"/>
        </w:rPr>
      </w:pPr>
      <w:r w:rsidRPr="00C21353">
        <w:rPr>
          <w:sz w:val="24"/>
          <w:szCs w:val="24"/>
          <w:lang w:val="es-ES"/>
        </w:rPr>
        <w:t>la Parte [A</w:t>
      </w:r>
      <w:r w:rsidR="001C4C48" w:rsidRPr="00C21353">
        <w:rPr>
          <w:sz w:val="24"/>
          <w:szCs w:val="24"/>
          <w:lang w:val="es-ES"/>
        </w:rPr>
        <w:t>/</w:t>
      </w:r>
      <w:r w:rsidRPr="00C21353">
        <w:rPr>
          <w:sz w:val="24"/>
          <w:szCs w:val="24"/>
          <w:lang w:val="es-ES"/>
        </w:rPr>
        <w:t xml:space="preserve">B] </w:t>
      </w:r>
      <w:r w:rsidR="001C4C48" w:rsidRPr="00C21353">
        <w:rPr>
          <w:sz w:val="24"/>
          <w:szCs w:val="24"/>
          <w:lang w:val="es-ES"/>
        </w:rPr>
        <w:t>deberá</w:t>
      </w:r>
      <w:r w:rsidRPr="00C21353">
        <w:rPr>
          <w:sz w:val="24"/>
          <w:szCs w:val="24"/>
          <w:lang w:val="es-ES"/>
        </w:rPr>
        <w:t xml:space="preserve"> abonar a la Parte [</w:t>
      </w:r>
      <w:r w:rsidR="001C4C48" w:rsidRPr="00C21353">
        <w:rPr>
          <w:sz w:val="24"/>
          <w:szCs w:val="24"/>
          <w:lang w:val="es-ES"/>
        </w:rPr>
        <w:t>B/A</w:t>
      </w:r>
      <w:r w:rsidRPr="00C21353">
        <w:rPr>
          <w:sz w:val="24"/>
          <w:szCs w:val="24"/>
          <w:lang w:val="es-ES"/>
        </w:rPr>
        <w:t xml:space="preserve">] </w:t>
      </w:r>
      <w:r w:rsidR="001C4C48" w:rsidRPr="00C21353">
        <w:rPr>
          <w:sz w:val="24"/>
          <w:szCs w:val="24"/>
          <w:lang w:val="es-ES"/>
        </w:rPr>
        <w:t>un importe de EUR [</w:t>
      </w:r>
      <w:r w:rsidRPr="00C21353">
        <w:rPr>
          <w:i/>
          <w:iCs/>
          <w:sz w:val="24"/>
          <w:szCs w:val="24"/>
          <w:lang w:val="es-ES"/>
        </w:rPr>
        <w:t>incluir cantidad</w:t>
      </w:r>
      <w:r w:rsidRPr="00C21353">
        <w:rPr>
          <w:sz w:val="24"/>
          <w:szCs w:val="24"/>
          <w:lang w:val="es-ES"/>
        </w:rPr>
        <w:t>] en [</w:t>
      </w:r>
      <w:r w:rsidRPr="00C21353">
        <w:rPr>
          <w:i/>
          <w:iCs/>
          <w:sz w:val="24"/>
          <w:szCs w:val="24"/>
          <w:lang w:val="es-ES"/>
        </w:rPr>
        <w:t>incluir fecha</w:t>
      </w:r>
      <w:r w:rsidRPr="00C21353">
        <w:rPr>
          <w:sz w:val="24"/>
          <w:szCs w:val="24"/>
          <w:lang w:val="es-ES"/>
        </w:rPr>
        <w:t>]</w:t>
      </w:r>
      <w:r w:rsidR="00C71A2B" w:rsidRPr="00C21353">
        <w:rPr>
          <w:sz w:val="24"/>
          <w:szCs w:val="24"/>
          <w:lang w:val="es-ES"/>
        </w:rPr>
        <w:t>.</w:t>
      </w:r>
    </w:p>
    <w:p w14:paraId="60D6453B" w14:textId="6AE7594E" w:rsidR="001C4C48" w:rsidRPr="00C21353" w:rsidRDefault="001C4C48" w:rsidP="004F480F">
      <w:pPr>
        <w:pStyle w:val="AODocTxt"/>
        <w:spacing w:before="0" w:after="240" w:line="240" w:lineRule="auto"/>
        <w:ind w:firstLine="708"/>
        <w:rPr>
          <w:b/>
          <w:bCs/>
          <w:i/>
          <w:iCs/>
          <w:sz w:val="24"/>
          <w:szCs w:val="24"/>
          <w:lang w:val="es-ES"/>
        </w:rPr>
      </w:pPr>
      <w:r w:rsidRPr="00C21353">
        <w:rPr>
          <w:b/>
          <w:bCs/>
          <w:i/>
          <w:iCs/>
          <w:sz w:val="24"/>
          <w:szCs w:val="24"/>
          <w:lang w:val="es-ES"/>
        </w:rPr>
        <w:t>Opción B</w:t>
      </w:r>
      <w:r w:rsidR="00BA2E89" w:rsidRPr="00C21353">
        <w:rPr>
          <w:rStyle w:val="Refdenotaalpie"/>
          <w:sz w:val="24"/>
          <w:szCs w:val="24"/>
          <w:lang w:val="es-ES"/>
        </w:rPr>
        <w:t xml:space="preserve"> </w:t>
      </w:r>
      <w:r w:rsidR="00866F3D" w:rsidRPr="00866F3D">
        <w:rPr>
          <w:rStyle w:val="Refdenotaalpie"/>
          <w:sz w:val="20"/>
          <w:szCs w:val="20"/>
          <w:lang w:val="es-ES"/>
        </w:rPr>
        <w:footnoteReference w:id="6"/>
      </w:r>
    </w:p>
    <w:p w14:paraId="3F344C92" w14:textId="2BD9C33B" w:rsidR="00D44429" w:rsidRPr="00C21353" w:rsidRDefault="001C4C48" w:rsidP="00BD4B6C">
      <w:pPr>
        <w:pStyle w:val="AODocTxt"/>
        <w:spacing w:before="0" w:after="240" w:line="240" w:lineRule="auto"/>
        <w:ind w:left="1416"/>
        <w:rPr>
          <w:sz w:val="24"/>
          <w:szCs w:val="24"/>
          <w:lang w:val="es-ES"/>
        </w:rPr>
      </w:pPr>
      <w:r w:rsidRPr="00C21353">
        <w:rPr>
          <w:sz w:val="24"/>
          <w:szCs w:val="24"/>
          <w:lang w:val="es-ES"/>
        </w:rPr>
        <w:t>l</w:t>
      </w:r>
      <w:r w:rsidR="00C3601F" w:rsidRPr="00C21353">
        <w:rPr>
          <w:sz w:val="24"/>
          <w:szCs w:val="24"/>
          <w:lang w:val="es-ES"/>
        </w:rPr>
        <w:t xml:space="preserve">as </w:t>
      </w:r>
      <w:r w:rsidR="00BA2E89" w:rsidRPr="00C21353">
        <w:rPr>
          <w:sz w:val="24"/>
          <w:szCs w:val="24"/>
          <w:lang w:val="es-ES"/>
        </w:rPr>
        <w:t>P</w:t>
      </w:r>
      <w:r w:rsidR="00C3601F" w:rsidRPr="00C21353">
        <w:rPr>
          <w:sz w:val="24"/>
          <w:szCs w:val="24"/>
          <w:lang w:val="es-ES"/>
        </w:rPr>
        <w:t xml:space="preserve">artes </w:t>
      </w:r>
      <w:r w:rsidR="00BA2E89" w:rsidRPr="00C21353">
        <w:rPr>
          <w:sz w:val="24"/>
          <w:szCs w:val="24"/>
          <w:lang w:val="es-ES"/>
        </w:rPr>
        <w:t>se obligan a</w:t>
      </w:r>
      <w:r w:rsidR="00C3601F" w:rsidRPr="00C21353">
        <w:rPr>
          <w:sz w:val="24"/>
          <w:szCs w:val="24"/>
          <w:lang w:val="es-ES"/>
        </w:rPr>
        <w:t xml:space="preserve"> realizar el/los pago/s </w:t>
      </w:r>
      <w:r w:rsidR="00BA2E89" w:rsidRPr="00C21353">
        <w:rPr>
          <w:sz w:val="24"/>
          <w:szCs w:val="24"/>
          <w:lang w:val="es-ES"/>
        </w:rPr>
        <w:t xml:space="preserve">documentados en carta aparte </w:t>
      </w:r>
      <w:r w:rsidR="00C3601F" w:rsidRPr="00C21353">
        <w:rPr>
          <w:sz w:val="24"/>
          <w:szCs w:val="24"/>
          <w:lang w:val="es-ES"/>
        </w:rPr>
        <w:t>antes de [</w:t>
      </w:r>
      <w:r w:rsidR="00C3601F" w:rsidRPr="00C21353">
        <w:rPr>
          <w:i/>
          <w:iCs/>
          <w:sz w:val="24"/>
          <w:szCs w:val="24"/>
          <w:lang w:val="es-ES"/>
        </w:rPr>
        <w:t>fecha</w:t>
      </w:r>
      <w:r w:rsidR="005E6F72" w:rsidRPr="00C21353">
        <w:rPr>
          <w:i/>
          <w:iCs/>
          <w:sz w:val="24"/>
          <w:szCs w:val="24"/>
          <w:lang w:val="es-ES"/>
        </w:rPr>
        <w:t xml:space="preserve"> límite de pago</w:t>
      </w:r>
      <w:r w:rsidR="00C3601F" w:rsidRPr="00C21353">
        <w:rPr>
          <w:sz w:val="24"/>
          <w:szCs w:val="24"/>
          <w:lang w:val="es-ES"/>
        </w:rPr>
        <w:t>].</w:t>
      </w:r>
      <w:r w:rsidR="00BA2E89" w:rsidRPr="00C21353">
        <w:rPr>
          <w:sz w:val="24"/>
          <w:szCs w:val="24"/>
          <w:lang w:val="es-ES"/>
        </w:rPr>
        <w:t>]</w:t>
      </w:r>
    </w:p>
    <w:permEnd w:id="1171395996"/>
    <w:p w14:paraId="160740AE" w14:textId="2570014F" w:rsidR="00C3601F" w:rsidRPr="00C21353" w:rsidRDefault="00C3601F" w:rsidP="00BD4B6C">
      <w:pPr>
        <w:pStyle w:val="AODocTxt"/>
        <w:spacing w:before="0" w:after="240" w:line="240" w:lineRule="auto"/>
        <w:ind w:left="708"/>
        <w:rPr>
          <w:b/>
          <w:i/>
          <w:sz w:val="24"/>
          <w:szCs w:val="24"/>
          <w:highlight w:val="yellow"/>
          <w:lang w:val="es-ES"/>
        </w:rPr>
      </w:pPr>
      <w:r w:rsidRPr="00C21353">
        <w:rPr>
          <w:sz w:val="24"/>
          <w:szCs w:val="24"/>
          <w:lang w:val="es-ES"/>
        </w:rPr>
        <w:t xml:space="preserve">Las </w:t>
      </w:r>
      <w:r w:rsidR="00BD4B6C" w:rsidRPr="00C21353">
        <w:rPr>
          <w:sz w:val="24"/>
          <w:szCs w:val="24"/>
          <w:lang w:val="es-ES"/>
        </w:rPr>
        <w:t>P</w:t>
      </w:r>
      <w:r w:rsidRPr="00C21353">
        <w:rPr>
          <w:sz w:val="24"/>
          <w:szCs w:val="24"/>
          <w:lang w:val="es-ES"/>
        </w:rPr>
        <w:t xml:space="preserve">artes acuerdan que </w:t>
      </w:r>
      <w:r w:rsidR="005E6F72" w:rsidRPr="00C21353">
        <w:rPr>
          <w:sz w:val="24"/>
          <w:szCs w:val="24"/>
          <w:lang w:val="es-ES"/>
        </w:rPr>
        <w:t>esta</w:t>
      </w:r>
      <w:r w:rsidR="00D44429" w:rsidRPr="00C21353">
        <w:rPr>
          <w:sz w:val="24"/>
          <w:szCs w:val="24"/>
          <w:lang w:val="es-ES"/>
        </w:rPr>
        <w:t xml:space="preserve"> </w:t>
      </w:r>
      <w:r w:rsidRPr="00C21353">
        <w:rPr>
          <w:sz w:val="24"/>
          <w:szCs w:val="24"/>
          <w:lang w:val="es-ES"/>
        </w:rPr>
        <w:t>obligación constituye una obligación de pago a los efectos de</w:t>
      </w:r>
      <w:r w:rsidR="00D44429" w:rsidRPr="00C21353">
        <w:rPr>
          <w:sz w:val="24"/>
          <w:szCs w:val="24"/>
          <w:lang w:val="es-ES"/>
        </w:rPr>
        <w:t xml:space="preserve"> la </w:t>
      </w:r>
      <w:r w:rsidR="00C71A2B" w:rsidRPr="00C21353">
        <w:rPr>
          <w:sz w:val="24"/>
          <w:szCs w:val="24"/>
          <w:lang w:val="es-ES"/>
        </w:rPr>
        <w:t>E</w:t>
      </w:r>
      <w:r w:rsidR="00D44429" w:rsidRPr="00C21353">
        <w:rPr>
          <w:sz w:val="24"/>
          <w:szCs w:val="24"/>
          <w:lang w:val="es-ES"/>
        </w:rPr>
        <w:t>stipulación 9.1 de cada Contrato Marco Relevante.</w:t>
      </w:r>
      <w:r w:rsidR="00866F3D">
        <w:rPr>
          <w:sz w:val="24"/>
          <w:szCs w:val="24"/>
          <w:lang w:val="es-ES"/>
        </w:rPr>
        <w:t>]</w:t>
      </w:r>
    </w:p>
    <w:bookmarkEnd w:id="0"/>
    <w:p w14:paraId="227C5D89" w14:textId="32D7F96C" w:rsidR="0013137F" w:rsidRPr="00C21353" w:rsidRDefault="00E40302" w:rsidP="004F480F">
      <w:pPr>
        <w:pStyle w:val="Textoindependiente"/>
        <w:rPr>
          <w:b/>
          <w:bCs/>
          <w:lang w:val="es-ES"/>
        </w:rPr>
      </w:pPr>
      <w:r w:rsidRPr="00C21353">
        <w:rPr>
          <w:b/>
          <w:bCs/>
          <w:lang w:val="es-ES"/>
        </w:rPr>
        <w:t>(</w:t>
      </w:r>
      <w:r w:rsidR="002222A7" w:rsidRPr="00C21353">
        <w:rPr>
          <w:b/>
          <w:bCs/>
          <w:lang w:val="es-ES"/>
        </w:rPr>
        <w:t>III</w:t>
      </w:r>
      <w:r w:rsidRPr="00C21353">
        <w:rPr>
          <w:b/>
          <w:bCs/>
          <w:lang w:val="es-ES"/>
        </w:rPr>
        <w:t>)</w:t>
      </w:r>
      <w:r w:rsidRPr="00C21353">
        <w:rPr>
          <w:b/>
          <w:bCs/>
          <w:lang w:val="es-ES"/>
        </w:rPr>
        <w:tab/>
      </w:r>
      <w:r w:rsidR="005F10F2" w:rsidRPr="00C21353">
        <w:rPr>
          <w:b/>
          <w:bCs/>
          <w:lang w:val="es-ES"/>
        </w:rPr>
        <w:t>INTERESES NEGATIVOS</w:t>
      </w:r>
    </w:p>
    <w:p w14:paraId="4F440855" w14:textId="76BF470C" w:rsidR="0013137F" w:rsidRPr="00C21353" w:rsidRDefault="00205496" w:rsidP="004F480F">
      <w:pPr>
        <w:ind w:left="705"/>
        <w:rPr>
          <w:color w:val="000000"/>
          <w:lang w:val="es-ES"/>
        </w:rPr>
      </w:pPr>
      <w:r w:rsidRPr="00C21353">
        <w:rPr>
          <w:lang w:val="es-ES"/>
        </w:rPr>
        <w:t>Sin perjuicio de</w:t>
      </w:r>
      <w:r w:rsidR="00252123" w:rsidRPr="00C21353">
        <w:rPr>
          <w:lang w:val="es-ES"/>
        </w:rPr>
        <w:t xml:space="preserve"> </w:t>
      </w:r>
      <w:r w:rsidRPr="00C21353">
        <w:rPr>
          <w:lang w:val="es-ES"/>
        </w:rPr>
        <w:t>la sustitución prevista en el Acuerdo II anterior, n</w:t>
      </w:r>
      <w:r w:rsidR="00820DC2" w:rsidRPr="00C21353">
        <w:rPr>
          <w:lang w:val="es-ES"/>
        </w:rPr>
        <w:t>ada de l</w:t>
      </w:r>
      <w:r w:rsidR="0013137F" w:rsidRPr="00C21353">
        <w:rPr>
          <w:lang w:val="es-ES"/>
        </w:rPr>
        <w:t xml:space="preserve">o </w:t>
      </w:r>
      <w:r w:rsidRPr="00C21353">
        <w:rPr>
          <w:lang w:val="es-ES"/>
        </w:rPr>
        <w:t xml:space="preserve">aquí </w:t>
      </w:r>
      <w:r w:rsidR="00C71A2B" w:rsidRPr="00C21353">
        <w:rPr>
          <w:lang w:val="es-ES"/>
        </w:rPr>
        <w:t>establecido</w:t>
      </w:r>
      <w:r w:rsidR="0013137F" w:rsidRPr="00C21353">
        <w:rPr>
          <w:lang w:val="es-ES"/>
        </w:rPr>
        <w:t xml:space="preserve"> </w:t>
      </w:r>
      <w:r w:rsidRPr="00C21353">
        <w:rPr>
          <w:lang w:val="es-ES"/>
        </w:rPr>
        <w:t>a</w:t>
      </w:r>
      <w:r w:rsidR="00820DC2" w:rsidRPr="00C21353">
        <w:rPr>
          <w:lang w:val="es-ES"/>
        </w:rPr>
        <w:t xml:space="preserve">fectará a la aplicación de los posibles </w:t>
      </w:r>
      <w:r w:rsidRPr="00C21353">
        <w:rPr>
          <w:lang w:val="es-ES"/>
        </w:rPr>
        <w:t>pactos</w:t>
      </w:r>
      <w:r w:rsidR="00820DC2" w:rsidRPr="00C21353">
        <w:rPr>
          <w:lang w:val="es-ES"/>
        </w:rPr>
        <w:t xml:space="preserve"> de las Partes en la Estipulación</w:t>
      </w:r>
      <w:r w:rsidR="00BB5A4D">
        <w:rPr>
          <w:lang w:val="es-ES"/>
        </w:rPr>
        <w:t xml:space="preserve"> </w:t>
      </w:r>
      <w:r w:rsidR="00820DC2" w:rsidRPr="00C21353">
        <w:rPr>
          <w:lang w:val="es-ES"/>
        </w:rPr>
        <w:lastRenderedPageBreak/>
        <w:t>Adicional de</w:t>
      </w:r>
      <w:r w:rsidR="00C71A2B" w:rsidRPr="00C21353">
        <w:rPr>
          <w:lang w:val="es-ES"/>
        </w:rPr>
        <w:t xml:space="preserve"> cualquier</w:t>
      </w:r>
      <w:r w:rsidR="00820DC2" w:rsidRPr="00C21353">
        <w:rPr>
          <w:lang w:val="es-ES"/>
        </w:rPr>
        <w:t xml:space="preserve"> Anexo III </w:t>
      </w:r>
      <w:r w:rsidR="00C71A2B" w:rsidRPr="00C21353">
        <w:rPr>
          <w:lang w:val="es-ES"/>
        </w:rPr>
        <w:t xml:space="preserve">Relevante </w:t>
      </w:r>
      <w:r w:rsidRPr="00C21353">
        <w:rPr>
          <w:lang w:val="es-ES"/>
        </w:rPr>
        <w:t xml:space="preserve">para </w:t>
      </w:r>
      <w:r w:rsidR="00820DC2" w:rsidRPr="00C21353">
        <w:rPr>
          <w:lang w:val="es-ES"/>
        </w:rPr>
        <w:t>las situaciones de tipos de interés negativos.</w:t>
      </w:r>
    </w:p>
    <w:p w14:paraId="0977BF2C" w14:textId="487C9E7B" w:rsidR="00E40302" w:rsidRPr="00C21353" w:rsidRDefault="00E40302" w:rsidP="00E40302">
      <w:pPr>
        <w:rPr>
          <w:rFonts w:ascii="Cambria" w:hAnsi="Cambria"/>
          <w:b/>
          <w:bCs/>
          <w:sz w:val="22"/>
          <w:szCs w:val="22"/>
          <w:lang w:val="es-ES"/>
        </w:rPr>
      </w:pPr>
      <w:r w:rsidRPr="00C21353">
        <w:rPr>
          <w:rFonts w:ascii="Cambria" w:hAnsi="Cambria"/>
          <w:b/>
          <w:bCs/>
          <w:sz w:val="22"/>
          <w:szCs w:val="22"/>
          <w:lang w:val="es-ES"/>
        </w:rPr>
        <w:t>SEGUNDA.- INTEGRIDAD DEL C</w:t>
      </w:r>
      <w:r w:rsidR="00AE62D2" w:rsidRPr="00C21353">
        <w:rPr>
          <w:rFonts w:ascii="Cambria" w:hAnsi="Cambria"/>
          <w:b/>
          <w:bCs/>
          <w:sz w:val="22"/>
          <w:szCs w:val="22"/>
          <w:lang w:val="es-ES"/>
        </w:rPr>
        <w:t>ONTRATO MARCO</w:t>
      </w:r>
    </w:p>
    <w:p w14:paraId="51EDA0D3" w14:textId="0CF93170" w:rsidR="00E40302" w:rsidRPr="00C21353" w:rsidRDefault="00E40302" w:rsidP="00E40302">
      <w:pPr>
        <w:rPr>
          <w:rFonts w:ascii="Cambria" w:hAnsi="Cambria"/>
          <w:sz w:val="22"/>
          <w:szCs w:val="22"/>
          <w:lang w:val="es-ES"/>
        </w:rPr>
      </w:pPr>
      <w:r w:rsidRPr="00C21353">
        <w:rPr>
          <w:rFonts w:ascii="Cambria" w:hAnsi="Cambria"/>
          <w:sz w:val="22"/>
          <w:szCs w:val="22"/>
          <w:lang w:val="es-ES"/>
        </w:rPr>
        <w:t xml:space="preserve">En lo no expresamente modificado, subsiste íntegramente en vigor </w:t>
      </w:r>
      <w:r w:rsidR="00C71A2B" w:rsidRPr="00C21353">
        <w:rPr>
          <w:rFonts w:ascii="Cambria" w:hAnsi="Cambria"/>
          <w:sz w:val="22"/>
          <w:szCs w:val="22"/>
          <w:lang w:val="es-ES"/>
        </w:rPr>
        <w:t>cada</w:t>
      </w:r>
      <w:r w:rsidRPr="00C21353">
        <w:rPr>
          <w:rFonts w:ascii="Cambria" w:hAnsi="Cambria"/>
          <w:sz w:val="22"/>
          <w:szCs w:val="22"/>
          <w:lang w:val="es-ES"/>
        </w:rPr>
        <w:t xml:space="preserve"> </w:t>
      </w:r>
      <w:r w:rsidR="00AE62D2" w:rsidRPr="00C21353">
        <w:rPr>
          <w:rFonts w:ascii="Cambria" w:hAnsi="Cambria"/>
          <w:sz w:val="22"/>
          <w:szCs w:val="22"/>
          <w:lang w:val="es-ES"/>
        </w:rPr>
        <w:t xml:space="preserve">Anexo III </w:t>
      </w:r>
      <w:r w:rsidR="00C71A2B" w:rsidRPr="00C21353">
        <w:rPr>
          <w:rFonts w:ascii="Cambria" w:hAnsi="Cambria"/>
          <w:sz w:val="22"/>
          <w:szCs w:val="22"/>
          <w:lang w:val="es-ES"/>
        </w:rPr>
        <w:t xml:space="preserve">Relevante, cada </w:t>
      </w:r>
      <w:r w:rsidRPr="00C21353">
        <w:rPr>
          <w:rFonts w:ascii="Cambria" w:hAnsi="Cambria"/>
          <w:sz w:val="22"/>
          <w:szCs w:val="22"/>
          <w:lang w:val="es-ES"/>
        </w:rPr>
        <w:t xml:space="preserve">Contrato Marco </w:t>
      </w:r>
      <w:r w:rsidR="00C71A2B" w:rsidRPr="00C21353">
        <w:rPr>
          <w:rFonts w:ascii="Cambria" w:hAnsi="Cambria"/>
          <w:sz w:val="22"/>
          <w:szCs w:val="22"/>
          <w:lang w:val="es-ES"/>
        </w:rPr>
        <w:t xml:space="preserve">Relevante </w:t>
      </w:r>
      <w:r w:rsidR="00205496" w:rsidRPr="00C21353">
        <w:rPr>
          <w:rFonts w:ascii="Cambria" w:hAnsi="Cambria"/>
          <w:sz w:val="22"/>
          <w:szCs w:val="22"/>
          <w:lang w:val="es-ES"/>
        </w:rPr>
        <w:t xml:space="preserve">y </w:t>
      </w:r>
      <w:r w:rsidRPr="00C21353">
        <w:rPr>
          <w:rFonts w:ascii="Cambria" w:hAnsi="Cambria"/>
          <w:sz w:val="22"/>
          <w:szCs w:val="22"/>
          <w:lang w:val="es-ES"/>
        </w:rPr>
        <w:t xml:space="preserve">todos sus </w:t>
      </w:r>
      <w:r w:rsidR="00205496" w:rsidRPr="00C21353">
        <w:rPr>
          <w:rFonts w:ascii="Cambria" w:hAnsi="Cambria"/>
          <w:sz w:val="22"/>
          <w:szCs w:val="22"/>
          <w:lang w:val="es-ES"/>
        </w:rPr>
        <w:t xml:space="preserve">restantes </w:t>
      </w:r>
      <w:r w:rsidRPr="00C21353">
        <w:rPr>
          <w:rFonts w:ascii="Cambria" w:hAnsi="Cambria"/>
          <w:sz w:val="22"/>
          <w:szCs w:val="22"/>
          <w:lang w:val="es-ES"/>
        </w:rPr>
        <w:t xml:space="preserve">Anexos, </w:t>
      </w:r>
      <w:r w:rsidRPr="00C21353">
        <w:rPr>
          <w:rFonts w:ascii="Cambria" w:hAnsi="Cambria"/>
          <w:i/>
          <w:iCs/>
          <w:sz w:val="22"/>
          <w:szCs w:val="22"/>
          <w:lang w:val="es-ES"/>
        </w:rPr>
        <w:t>mutatis mutandis</w:t>
      </w:r>
      <w:r w:rsidRPr="00C21353">
        <w:rPr>
          <w:rFonts w:ascii="Cambria" w:hAnsi="Cambria"/>
          <w:sz w:val="22"/>
          <w:szCs w:val="22"/>
          <w:lang w:val="es-ES"/>
        </w:rPr>
        <w:t>, sin que la presente Novación suponga, en ningún caso, novación extintiva de las obligaciones derivadas del mismo, e integrándose como parte de éste, ratificando y reiterando las Partes los términos de</w:t>
      </w:r>
      <w:r w:rsidR="00C71A2B" w:rsidRPr="00C21353">
        <w:rPr>
          <w:rFonts w:ascii="Cambria" w:hAnsi="Cambria"/>
          <w:sz w:val="22"/>
          <w:szCs w:val="22"/>
          <w:lang w:val="es-ES"/>
        </w:rPr>
        <w:t xml:space="preserve"> cada</w:t>
      </w:r>
      <w:r w:rsidRPr="00C21353">
        <w:rPr>
          <w:rFonts w:ascii="Cambria" w:hAnsi="Cambria"/>
          <w:sz w:val="22"/>
          <w:szCs w:val="22"/>
          <w:lang w:val="es-ES"/>
        </w:rPr>
        <w:t xml:space="preserve"> Contrato Marco </w:t>
      </w:r>
      <w:r w:rsidR="00C71A2B" w:rsidRPr="00C21353">
        <w:rPr>
          <w:rFonts w:ascii="Cambria" w:hAnsi="Cambria"/>
          <w:sz w:val="22"/>
          <w:szCs w:val="22"/>
          <w:lang w:val="es-ES"/>
        </w:rPr>
        <w:t xml:space="preserve">Relevante </w:t>
      </w:r>
      <w:r w:rsidR="00205496" w:rsidRPr="00C21353">
        <w:rPr>
          <w:rFonts w:ascii="Cambria" w:hAnsi="Cambria"/>
          <w:sz w:val="22"/>
          <w:szCs w:val="22"/>
          <w:lang w:val="es-ES"/>
        </w:rPr>
        <w:t xml:space="preserve">y </w:t>
      </w:r>
      <w:r w:rsidR="00C71A2B" w:rsidRPr="00C21353">
        <w:rPr>
          <w:rFonts w:ascii="Cambria" w:hAnsi="Cambria"/>
          <w:sz w:val="22"/>
          <w:szCs w:val="22"/>
          <w:lang w:val="es-ES"/>
        </w:rPr>
        <w:t xml:space="preserve">cada </w:t>
      </w:r>
      <w:r w:rsidR="00205496" w:rsidRPr="00C21353">
        <w:rPr>
          <w:rFonts w:ascii="Cambria" w:hAnsi="Cambria"/>
          <w:sz w:val="22"/>
          <w:szCs w:val="22"/>
          <w:lang w:val="es-ES"/>
        </w:rPr>
        <w:t>A</w:t>
      </w:r>
      <w:r w:rsidR="00252123" w:rsidRPr="00C21353">
        <w:rPr>
          <w:rFonts w:ascii="Cambria" w:hAnsi="Cambria"/>
          <w:sz w:val="22"/>
          <w:szCs w:val="22"/>
          <w:lang w:val="es-ES"/>
        </w:rPr>
        <w:t>n</w:t>
      </w:r>
      <w:r w:rsidR="00205496" w:rsidRPr="00C21353">
        <w:rPr>
          <w:rFonts w:ascii="Cambria" w:hAnsi="Cambria"/>
          <w:sz w:val="22"/>
          <w:szCs w:val="22"/>
          <w:lang w:val="es-ES"/>
        </w:rPr>
        <w:t xml:space="preserve">exo III </w:t>
      </w:r>
      <w:r w:rsidR="00C71A2B" w:rsidRPr="00C21353">
        <w:rPr>
          <w:rFonts w:ascii="Cambria" w:hAnsi="Cambria"/>
          <w:sz w:val="22"/>
          <w:szCs w:val="22"/>
          <w:lang w:val="es-ES"/>
        </w:rPr>
        <w:t xml:space="preserve">Relevante </w:t>
      </w:r>
      <w:r w:rsidRPr="00C21353">
        <w:rPr>
          <w:rFonts w:ascii="Cambria" w:hAnsi="Cambria"/>
          <w:sz w:val="22"/>
          <w:szCs w:val="22"/>
          <w:lang w:val="es-ES"/>
        </w:rPr>
        <w:t>en todos sus extremos.</w:t>
      </w:r>
    </w:p>
    <w:p w14:paraId="243F8E14" w14:textId="7D8EF243" w:rsidR="00E40302" w:rsidRPr="00C21353" w:rsidRDefault="00E40302" w:rsidP="00E40302">
      <w:pPr>
        <w:rPr>
          <w:rFonts w:ascii="Cambria" w:hAnsi="Cambria"/>
          <w:color w:val="000000"/>
          <w:sz w:val="22"/>
          <w:szCs w:val="22"/>
          <w:lang w:val="es-ES"/>
        </w:rPr>
      </w:pPr>
      <w:r w:rsidRPr="00C21353">
        <w:rPr>
          <w:rFonts w:ascii="Cambria" w:hAnsi="Cambria"/>
          <w:sz w:val="22"/>
          <w:szCs w:val="22"/>
          <w:lang w:val="es-ES"/>
        </w:rPr>
        <w:t xml:space="preserve">En particular, </w:t>
      </w:r>
      <w:r w:rsidR="00C71A2B" w:rsidRPr="00C21353">
        <w:rPr>
          <w:rFonts w:ascii="Cambria" w:hAnsi="Cambria"/>
          <w:sz w:val="22"/>
          <w:szCs w:val="22"/>
          <w:lang w:val="es-ES"/>
        </w:rPr>
        <w:t>cada</w:t>
      </w:r>
      <w:r w:rsidRPr="00C21353">
        <w:rPr>
          <w:rFonts w:ascii="Cambria" w:hAnsi="Cambria"/>
          <w:sz w:val="22"/>
          <w:szCs w:val="22"/>
          <w:lang w:val="es-ES"/>
        </w:rPr>
        <w:t xml:space="preserve"> Contrato Marco </w:t>
      </w:r>
      <w:r w:rsidR="00DC0C56">
        <w:rPr>
          <w:rFonts w:ascii="Cambria" w:hAnsi="Cambria"/>
          <w:sz w:val="22"/>
          <w:szCs w:val="22"/>
          <w:lang w:val="es-ES"/>
        </w:rPr>
        <w:t>R</w:t>
      </w:r>
      <w:r w:rsidR="00C71A2B" w:rsidRPr="00C21353">
        <w:rPr>
          <w:rFonts w:ascii="Cambria" w:hAnsi="Cambria"/>
          <w:sz w:val="22"/>
          <w:szCs w:val="22"/>
          <w:lang w:val="es-ES"/>
        </w:rPr>
        <w:t xml:space="preserve">elevante </w:t>
      </w:r>
      <w:r w:rsidRPr="00C21353">
        <w:rPr>
          <w:rFonts w:ascii="Cambria" w:hAnsi="Cambria"/>
          <w:sz w:val="22"/>
          <w:szCs w:val="22"/>
          <w:lang w:val="es-ES"/>
        </w:rPr>
        <w:t xml:space="preserve">(junto con todos sus Anexos), esta Novación y todas las Operaciones convenidas o que se convengan a su amparo (junto con las correspondientes Confirmaciones) se integran en una relación negocial única entre las Partes, regida por </w:t>
      </w:r>
      <w:r w:rsidR="00C71A2B" w:rsidRPr="00C21353">
        <w:rPr>
          <w:rFonts w:ascii="Cambria" w:hAnsi="Cambria"/>
          <w:sz w:val="22"/>
          <w:szCs w:val="22"/>
          <w:lang w:val="es-ES"/>
        </w:rPr>
        <w:t>dicho</w:t>
      </w:r>
      <w:r w:rsidRPr="00C21353">
        <w:rPr>
          <w:rFonts w:ascii="Cambria" w:hAnsi="Cambria"/>
          <w:sz w:val="22"/>
          <w:szCs w:val="22"/>
          <w:lang w:val="es-ES"/>
        </w:rPr>
        <w:t xml:space="preserve"> Contrato Marco </w:t>
      </w:r>
      <w:r w:rsidRPr="00C21353">
        <w:rPr>
          <w:rFonts w:ascii="Cambria" w:hAnsi="Cambria"/>
          <w:color w:val="000000"/>
          <w:sz w:val="22"/>
          <w:szCs w:val="22"/>
          <w:lang w:val="es-ES"/>
        </w:rPr>
        <w:t>y que tiene la naturaleza de un acuerdo de compensación contractual con independencia de que haya una o más Operaciones en vigor entre las Partes.</w:t>
      </w:r>
    </w:p>
    <w:p w14:paraId="353A5D6C" w14:textId="77777777" w:rsidR="00E40302" w:rsidRPr="00C21353" w:rsidRDefault="00E40302" w:rsidP="00E40302">
      <w:pPr>
        <w:rPr>
          <w:rFonts w:ascii="Cambria" w:hAnsi="Cambria"/>
          <w:b/>
          <w:sz w:val="22"/>
          <w:szCs w:val="22"/>
          <w:lang w:val="es-ES"/>
        </w:rPr>
      </w:pPr>
      <w:r w:rsidRPr="00C21353">
        <w:rPr>
          <w:rFonts w:ascii="Cambria" w:hAnsi="Cambria"/>
          <w:b/>
          <w:sz w:val="22"/>
          <w:szCs w:val="22"/>
          <w:lang w:val="es-ES"/>
        </w:rPr>
        <w:t>TERCERA.- AUTORIZACIONES</w:t>
      </w:r>
    </w:p>
    <w:p w14:paraId="1B1ECF01" w14:textId="77777777" w:rsidR="00E40302" w:rsidRPr="00C21353" w:rsidRDefault="00E40302" w:rsidP="00E40302">
      <w:pPr>
        <w:rPr>
          <w:rFonts w:ascii="Cambria" w:hAnsi="Cambria"/>
          <w:sz w:val="22"/>
          <w:szCs w:val="22"/>
          <w:lang w:val="es-ES"/>
        </w:rPr>
      </w:pPr>
      <w:r w:rsidRPr="00C21353">
        <w:rPr>
          <w:rFonts w:ascii="Cambria" w:hAnsi="Cambria"/>
          <w:sz w:val="22"/>
          <w:szCs w:val="22"/>
          <w:lang w:val="es-ES"/>
        </w:rPr>
        <w:t>Las Partes declaran que, en el momento de la firma de esta Novación, disponen de todas las autorizaciones necesarias, así como que cumplen tan ampliamente como en derecho sea necesario con todos los requisitos legales para su firma.</w:t>
      </w:r>
    </w:p>
    <w:p w14:paraId="07F819E1" w14:textId="77777777" w:rsidR="00E40302" w:rsidRPr="00C21353" w:rsidRDefault="00E40302" w:rsidP="00E40302">
      <w:pPr>
        <w:rPr>
          <w:rFonts w:ascii="Cambria" w:hAnsi="Cambria"/>
          <w:b/>
          <w:sz w:val="22"/>
          <w:szCs w:val="22"/>
          <w:lang w:val="es-ES"/>
        </w:rPr>
      </w:pPr>
      <w:r w:rsidRPr="00C21353">
        <w:rPr>
          <w:rFonts w:ascii="Cambria" w:hAnsi="Cambria"/>
          <w:b/>
          <w:sz w:val="22"/>
          <w:szCs w:val="22"/>
          <w:lang w:val="es-ES"/>
        </w:rPr>
        <w:t>CUARTA.- LEGISLACIÓN APLICABLE Y FUERO</w:t>
      </w:r>
    </w:p>
    <w:p w14:paraId="54058F46" w14:textId="0821DE6C" w:rsidR="00E40302" w:rsidRPr="00C21353" w:rsidRDefault="00E40302" w:rsidP="00E40302">
      <w:pPr>
        <w:rPr>
          <w:rFonts w:ascii="Cambria" w:hAnsi="Cambria"/>
          <w:b/>
          <w:sz w:val="22"/>
          <w:szCs w:val="22"/>
          <w:lang w:val="es-ES"/>
        </w:rPr>
      </w:pPr>
      <w:r w:rsidRPr="00C21353">
        <w:rPr>
          <w:rFonts w:ascii="Cambria" w:hAnsi="Cambria"/>
          <w:sz w:val="22"/>
          <w:szCs w:val="22"/>
          <w:lang w:val="es-ES"/>
        </w:rPr>
        <w:t>La legislación aplicable a esta Novación será la legislación española</w:t>
      </w:r>
      <w:r w:rsidRPr="00C21353">
        <w:rPr>
          <w:rFonts w:ascii="Cambria" w:hAnsi="Cambria"/>
          <w:sz w:val="22"/>
          <w:szCs w:val="22"/>
          <w:lang w:val="es-ES" w:eastAsia="en-US"/>
        </w:rPr>
        <w:t xml:space="preserve"> </w:t>
      </w:r>
      <w:r w:rsidRPr="00C21353">
        <w:rPr>
          <w:rFonts w:ascii="Cambria" w:hAnsi="Cambria"/>
          <w:sz w:val="22"/>
          <w:szCs w:val="22"/>
          <w:lang w:val="es-ES"/>
        </w:rPr>
        <w:t xml:space="preserve">y el órgano de resolución de conflictos aplicable a esta Novación será el mismo que se haya pactado en el correspondiente Contrato Marco </w:t>
      </w:r>
      <w:r w:rsidR="00DC0C56">
        <w:rPr>
          <w:rFonts w:ascii="Cambria" w:hAnsi="Cambria"/>
          <w:sz w:val="22"/>
          <w:szCs w:val="22"/>
          <w:lang w:val="es-ES"/>
        </w:rPr>
        <w:t>R</w:t>
      </w:r>
      <w:r w:rsidR="005F10F2" w:rsidRPr="00C21353">
        <w:rPr>
          <w:rFonts w:ascii="Cambria" w:hAnsi="Cambria"/>
          <w:sz w:val="22"/>
          <w:szCs w:val="22"/>
          <w:lang w:val="es-ES"/>
        </w:rPr>
        <w:t xml:space="preserve">elevante </w:t>
      </w:r>
      <w:r w:rsidRPr="00C21353">
        <w:rPr>
          <w:rFonts w:ascii="Cambria" w:hAnsi="Cambria"/>
          <w:sz w:val="22"/>
          <w:szCs w:val="22"/>
          <w:lang w:val="es-ES"/>
        </w:rPr>
        <w:t>(arbitraje o tribunal ordinario).</w:t>
      </w:r>
    </w:p>
    <w:p w14:paraId="745655A8" w14:textId="77777777" w:rsidR="00E40302" w:rsidRPr="00C21353" w:rsidRDefault="00E40302" w:rsidP="00E40302">
      <w:pPr>
        <w:rPr>
          <w:rFonts w:ascii="Cambria" w:hAnsi="Cambria"/>
          <w:sz w:val="22"/>
          <w:szCs w:val="22"/>
          <w:lang w:val="es-ES"/>
        </w:rPr>
      </w:pPr>
    </w:p>
    <w:p w14:paraId="2F20F715" w14:textId="4457BA61" w:rsidR="00E40302" w:rsidRDefault="00E40302" w:rsidP="00E40302">
      <w:pPr>
        <w:pStyle w:val="p22"/>
        <w:spacing w:after="240" w:line="240" w:lineRule="auto"/>
        <w:ind w:left="0" w:firstLine="567"/>
        <w:jc w:val="both"/>
        <w:rPr>
          <w:rFonts w:ascii="Cambria" w:hAnsi="Cambria"/>
          <w:sz w:val="22"/>
          <w:szCs w:val="22"/>
          <w:lang w:val="es-ES"/>
        </w:rPr>
      </w:pPr>
      <w:r w:rsidRPr="00C21353">
        <w:rPr>
          <w:rFonts w:ascii="Cambria" w:hAnsi="Cambria"/>
          <w:sz w:val="22"/>
          <w:szCs w:val="22"/>
          <w:lang w:val="es-ES"/>
        </w:rPr>
        <w:t>En prueba de conformidad, las Partes firman la presente Novación, por duplicado ejemplar, en el lugar y fecha indicados en el encabezamiento.</w:t>
      </w:r>
    </w:p>
    <w:p w14:paraId="7495E39E" w14:textId="700C992F" w:rsidR="003B5236" w:rsidRDefault="0081538B" w:rsidP="00E40302">
      <w:pPr>
        <w:pStyle w:val="p22"/>
        <w:spacing w:after="240" w:line="240" w:lineRule="auto"/>
        <w:ind w:left="0" w:firstLine="567"/>
        <w:jc w:val="both"/>
        <w:rPr>
          <w:rFonts w:ascii="Cambria" w:hAnsi="Cambria"/>
          <w:sz w:val="22"/>
          <w:szCs w:val="22"/>
          <w:lang w:val="es-ES"/>
        </w:rPr>
      </w:pPr>
      <w:r>
        <w:rPr>
          <w:rFonts w:ascii="Cambria" w:hAnsi="Cambria"/>
          <w:sz w:val="22"/>
          <w:szCs w:val="22"/>
          <w:lang w:val="es-ES"/>
        </w:rPr>
        <w:t xml:space="preserve">  </w:t>
      </w:r>
      <w:permStart w:id="1479355997" w:edGrp="everyone"/>
      <w:r>
        <w:rPr>
          <w:rFonts w:ascii="Cambria" w:hAnsi="Cambria"/>
          <w:sz w:val="22"/>
          <w:szCs w:val="22"/>
          <w:lang w:val="es-ES"/>
        </w:rPr>
        <w:t xml:space="preserve">                                                                                                                                                                   </w:t>
      </w:r>
      <w:permEnd w:id="1479355997"/>
      <w:r w:rsidR="00E85F12">
        <w:rPr>
          <w:rFonts w:ascii="Cambria" w:hAnsi="Cambria"/>
          <w:sz w:val="22"/>
          <w:szCs w:val="22"/>
          <w:lang w:val="es-ES"/>
        </w:rPr>
        <w:t xml:space="preserve">                                                                                                                                                                               </w:t>
      </w:r>
    </w:p>
    <w:p w14:paraId="3C1B0825" w14:textId="7C07C233" w:rsidR="00E85F12" w:rsidRDefault="00E85F12" w:rsidP="00E40302">
      <w:pPr>
        <w:pStyle w:val="p22"/>
        <w:spacing w:after="240" w:line="240" w:lineRule="auto"/>
        <w:ind w:left="0" w:firstLine="567"/>
        <w:jc w:val="both"/>
        <w:rPr>
          <w:rFonts w:ascii="Cambria" w:hAnsi="Cambria"/>
          <w:sz w:val="22"/>
          <w:szCs w:val="22"/>
          <w:lang w:val="es-ES"/>
        </w:rPr>
      </w:pPr>
      <w:r>
        <w:rPr>
          <w:rFonts w:ascii="Cambria" w:hAnsi="Cambria"/>
          <w:sz w:val="22"/>
          <w:szCs w:val="22"/>
          <w:lang w:val="es-ES"/>
        </w:rPr>
        <w:t xml:space="preserve">                                                                                                                                                                               </w:t>
      </w:r>
    </w:p>
    <w:p w14:paraId="75575D20" w14:textId="77777777" w:rsidR="003B5236" w:rsidRPr="00C21353" w:rsidRDefault="003B5236" w:rsidP="00E40302">
      <w:pPr>
        <w:pStyle w:val="p22"/>
        <w:spacing w:after="240" w:line="240" w:lineRule="auto"/>
        <w:ind w:left="0" w:firstLine="567"/>
        <w:jc w:val="both"/>
        <w:rPr>
          <w:rFonts w:ascii="Cambria" w:hAnsi="Cambria"/>
          <w:sz w:val="22"/>
          <w:szCs w:val="22"/>
          <w:lang w:val="es-ES"/>
        </w:rPr>
      </w:pPr>
    </w:p>
    <w:p w14:paraId="61C0DDE1" w14:textId="598C32B6" w:rsidR="007C447C" w:rsidRDefault="007C447C">
      <w:pPr>
        <w:spacing w:after="160" w:line="259" w:lineRule="auto"/>
        <w:jc w:val="left"/>
        <w:rPr>
          <w:rFonts w:ascii="Cambria" w:eastAsia="Times New Roman" w:hAnsi="Cambria"/>
          <w:noProof/>
          <w:szCs w:val="20"/>
          <w:lang w:val="es-ES" w:eastAsia="es-ES" w:bidi="ar-SA"/>
        </w:rPr>
      </w:pPr>
      <w:r>
        <w:rPr>
          <w:rFonts w:ascii="Cambria" w:eastAsia="Times New Roman" w:hAnsi="Cambria"/>
          <w:noProof/>
          <w:szCs w:val="20"/>
          <w:lang w:val="es-ES" w:eastAsia="es-ES" w:bidi="ar-SA"/>
        </w:rPr>
        <w:br w:type="page"/>
      </w:r>
    </w:p>
    <w:p w14:paraId="058513C5" w14:textId="2F5B6F12" w:rsidR="00A008F9" w:rsidRPr="00C21353" w:rsidRDefault="005F10F2" w:rsidP="005F10F2">
      <w:pPr>
        <w:spacing w:after="160" w:line="259" w:lineRule="auto"/>
        <w:jc w:val="center"/>
        <w:rPr>
          <w:b/>
          <w:bCs/>
          <w:lang w:val="es-ES"/>
        </w:rPr>
      </w:pPr>
      <w:r w:rsidRPr="00C21353">
        <w:rPr>
          <w:b/>
          <w:bCs/>
          <w:lang w:val="es-ES"/>
        </w:rPr>
        <w:lastRenderedPageBreak/>
        <w:t>A</w:t>
      </w:r>
      <w:r w:rsidR="003130F3" w:rsidRPr="00C21353">
        <w:rPr>
          <w:b/>
          <w:bCs/>
          <w:lang w:val="es-ES"/>
        </w:rPr>
        <w:t>PÉNDICE</w:t>
      </w:r>
    </w:p>
    <w:p w14:paraId="0D111355" w14:textId="77777777" w:rsidR="0020565F" w:rsidRDefault="0020565F" w:rsidP="002222A7">
      <w:pPr>
        <w:jc w:val="center"/>
        <w:rPr>
          <w:b/>
          <w:bCs/>
          <w:lang w:val="es-ES"/>
        </w:rPr>
      </w:pPr>
    </w:p>
    <w:p w14:paraId="6ECC6AF8" w14:textId="18F1BDF5" w:rsidR="00FD3D2C" w:rsidRPr="00C21353" w:rsidRDefault="00A008F9" w:rsidP="002222A7">
      <w:pPr>
        <w:jc w:val="center"/>
        <w:rPr>
          <w:b/>
          <w:bCs/>
          <w:lang w:val="es-ES"/>
        </w:rPr>
      </w:pPr>
      <w:r w:rsidRPr="00C21353">
        <w:rPr>
          <w:b/>
          <w:bCs/>
          <w:lang w:val="es-ES"/>
        </w:rPr>
        <w:t>DEFINICIONES</w:t>
      </w:r>
      <w:r w:rsidR="00C71A2B" w:rsidRPr="00C21353">
        <w:rPr>
          <w:b/>
          <w:bCs/>
          <w:lang w:val="es-ES"/>
        </w:rPr>
        <w:t xml:space="preserve"> PARA TIPOS DE COLATERAL</w:t>
      </w:r>
    </w:p>
    <w:p w14:paraId="64838455" w14:textId="12532B30" w:rsidR="004F480F" w:rsidRPr="00C21353" w:rsidRDefault="004F480F" w:rsidP="00696130">
      <w:pPr>
        <w:rPr>
          <w:b/>
          <w:bCs/>
          <w:lang w:val="es-ES"/>
        </w:rPr>
      </w:pPr>
      <w:r w:rsidRPr="00C21353">
        <w:rPr>
          <w:b/>
          <w:bCs/>
          <w:lang w:val="es-ES"/>
        </w:rPr>
        <w:t>1.</w:t>
      </w:r>
      <w:r w:rsidRPr="00C21353">
        <w:rPr>
          <w:b/>
          <w:bCs/>
          <w:lang w:val="es-ES"/>
        </w:rPr>
        <w:tab/>
        <w:t>DEFINICIONES GENERALES</w:t>
      </w:r>
    </w:p>
    <w:p w14:paraId="24789E6D" w14:textId="77777777" w:rsidR="004F480F" w:rsidRPr="00C21353" w:rsidRDefault="004F480F" w:rsidP="00696130">
      <w:pPr>
        <w:ind w:left="720"/>
        <w:rPr>
          <w:lang w:val="es-ES"/>
        </w:rPr>
      </w:pPr>
      <w:r w:rsidRPr="00C21353">
        <w:rPr>
          <w:lang w:val="es-ES"/>
        </w:rPr>
        <w:t>"</w:t>
      </w:r>
      <w:r w:rsidRPr="00C21353">
        <w:rPr>
          <w:b/>
          <w:bCs/>
          <w:lang w:val="es-ES"/>
        </w:rPr>
        <w:t>BCE</w:t>
      </w:r>
      <w:r w:rsidRPr="00C21353">
        <w:rPr>
          <w:lang w:val="es-ES"/>
        </w:rPr>
        <w:t>" significa el Banco Central Europeo.</w:t>
      </w:r>
    </w:p>
    <w:p w14:paraId="42628481" w14:textId="36F2A864" w:rsidR="004F480F" w:rsidRPr="00C21353" w:rsidRDefault="00F63215" w:rsidP="00696130">
      <w:pPr>
        <w:ind w:left="720"/>
        <w:rPr>
          <w:lang w:val="es-ES"/>
        </w:rPr>
      </w:pPr>
      <w:r w:rsidRPr="00C21353">
        <w:rPr>
          <w:lang w:val="es-ES"/>
        </w:rPr>
        <w:t>"</w:t>
      </w:r>
      <w:r w:rsidR="004F480F" w:rsidRPr="00C21353">
        <w:rPr>
          <w:b/>
          <w:lang w:val="es-ES"/>
        </w:rPr>
        <w:t>Día Hábil TARGET2</w:t>
      </w:r>
      <w:r w:rsidRPr="00C21353">
        <w:rPr>
          <w:lang w:val="es-ES"/>
        </w:rPr>
        <w:t>"</w:t>
      </w:r>
      <w:r w:rsidR="004F480F" w:rsidRPr="00C21353">
        <w:rPr>
          <w:lang w:val="es-ES"/>
        </w:rPr>
        <w:t xml:space="preserve"> significa cualquier día en el que el sistema de pagos en euros TARGET2 (</w:t>
      </w:r>
      <w:r w:rsidR="004F480F" w:rsidRPr="00C21353">
        <w:rPr>
          <w:i/>
          <w:iCs/>
          <w:lang w:val="es-ES"/>
        </w:rPr>
        <w:t>Trans-European Automated Real-time Gross Settlement Express Transfer</w:t>
      </w:r>
      <w:r w:rsidR="004F480F" w:rsidRPr="00C21353">
        <w:rPr>
          <w:lang w:val="es-ES"/>
        </w:rPr>
        <w:t>) se encuentre operativo.</w:t>
      </w:r>
    </w:p>
    <w:p w14:paraId="58821896" w14:textId="77777777" w:rsidR="004F480F" w:rsidRPr="00C21353" w:rsidRDefault="004F480F" w:rsidP="00696130">
      <w:pPr>
        <w:ind w:left="720"/>
        <w:rPr>
          <w:lang w:val="es-ES"/>
        </w:rPr>
      </w:pPr>
      <w:r w:rsidRPr="00F63215">
        <w:rPr>
          <w:lang w:val="es-ES"/>
        </w:rPr>
        <w:t>"</w:t>
      </w:r>
      <w:r w:rsidRPr="00C21353">
        <w:rPr>
          <w:b/>
          <w:bCs/>
          <w:lang w:val="es-ES"/>
        </w:rPr>
        <w:t>EMMI</w:t>
      </w:r>
      <w:r w:rsidRPr="00C21353">
        <w:rPr>
          <w:lang w:val="es-ES"/>
        </w:rPr>
        <w:t xml:space="preserve">" significa el </w:t>
      </w:r>
      <w:r w:rsidRPr="00C21353">
        <w:rPr>
          <w:i/>
          <w:iCs/>
          <w:lang w:val="es-ES"/>
        </w:rPr>
        <w:t>European Money Market Institute</w:t>
      </w:r>
      <w:r w:rsidRPr="00C21353">
        <w:rPr>
          <w:lang w:val="es-ES"/>
        </w:rPr>
        <w:t>.</w:t>
      </w:r>
    </w:p>
    <w:p w14:paraId="11F61686" w14:textId="77E39A52" w:rsidR="004F480F" w:rsidRPr="00C21353" w:rsidRDefault="004F480F" w:rsidP="00696130">
      <w:pPr>
        <w:pStyle w:val="Default"/>
        <w:spacing w:after="240"/>
        <w:ind w:left="708"/>
        <w:jc w:val="both"/>
        <w:rPr>
          <w:color w:val="000000" w:themeColor="text1"/>
        </w:rPr>
      </w:pPr>
      <w:r w:rsidRPr="00C21353">
        <w:rPr>
          <w:color w:val="000000" w:themeColor="text1"/>
        </w:rPr>
        <w:t>"</w:t>
      </w:r>
      <w:r w:rsidRPr="00C21353">
        <w:rPr>
          <w:b/>
          <w:bCs/>
          <w:color w:val="000000" w:themeColor="text1"/>
        </w:rPr>
        <w:t>EONIA</w:t>
      </w:r>
      <w:r w:rsidRPr="00C21353">
        <w:rPr>
          <w:color w:val="000000" w:themeColor="text1"/>
        </w:rPr>
        <w:t xml:space="preserve">" significa el tipo de interés a un día del </w:t>
      </w:r>
      <w:r w:rsidR="007C4134" w:rsidRPr="00C21353">
        <w:rPr>
          <w:color w:val="000000" w:themeColor="text1"/>
        </w:rPr>
        <w:t>e</w:t>
      </w:r>
      <w:r w:rsidRPr="00C21353">
        <w:rPr>
          <w:color w:val="000000" w:themeColor="text1"/>
        </w:rPr>
        <w:t>uro (</w:t>
      </w:r>
      <w:r w:rsidRPr="00C21353">
        <w:rPr>
          <w:i/>
          <w:iCs/>
        </w:rPr>
        <w:t>euro overnight index average</w:t>
      </w:r>
      <w:r w:rsidRPr="00C21353">
        <w:t xml:space="preserve">) </w:t>
      </w:r>
      <w:r w:rsidRPr="00C21353">
        <w:rPr>
          <w:color w:val="000000" w:themeColor="text1"/>
        </w:rPr>
        <w:t>publicado por el EMMI como administrador de dicho índice (o por quien pudiera sucederlo en tal función) en la página web del EMMI (o su Fuente Sucesora).</w:t>
      </w:r>
    </w:p>
    <w:p w14:paraId="28CAD8F7" w14:textId="4028F71D" w:rsidR="004F480F" w:rsidRPr="00C21353" w:rsidRDefault="004F480F" w:rsidP="00696130">
      <w:pPr>
        <w:pStyle w:val="Default"/>
        <w:spacing w:after="240"/>
        <w:ind w:left="708"/>
        <w:jc w:val="both"/>
        <w:rPr>
          <w:color w:val="auto"/>
        </w:rPr>
      </w:pPr>
      <w:r w:rsidRPr="00C21353">
        <w:rPr>
          <w:color w:val="auto"/>
        </w:rPr>
        <w:t>"</w:t>
      </w:r>
      <w:r w:rsidRPr="00C21353">
        <w:rPr>
          <w:b/>
          <w:bCs/>
          <w:color w:val="auto"/>
        </w:rPr>
        <w:t>EuroSTR</w:t>
      </w:r>
      <w:r w:rsidRPr="00C21353">
        <w:rPr>
          <w:color w:val="auto"/>
        </w:rPr>
        <w:t>" significa el tipo de interés a corto plazo del euro publicado por el BCE como administrador de dicho índice (o por quien pudiera sucederlo en tal función) en la página web del BCE (o su Fuente Sucesora).</w:t>
      </w:r>
    </w:p>
    <w:p w14:paraId="08F23DBF" w14:textId="2E927AE5" w:rsidR="004F480F" w:rsidRPr="00C21353" w:rsidRDefault="004F480F" w:rsidP="00696130">
      <w:pPr>
        <w:ind w:left="708"/>
        <w:rPr>
          <w:lang w:val="es-ES"/>
        </w:rPr>
      </w:pPr>
      <w:r w:rsidRPr="00C21353">
        <w:rPr>
          <w:lang w:val="es-ES"/>
        </w:rPr>
        <w:t>"</w:t>
      </w:r>
      <w:r w:rsidRPr="00C21353">
        <w:rPr>
          <w:b/>
          <w:bCs/>
          <w:lang w:val="es-ES"/>
        </w:rPr>
        <w:t>Fecha de Cese Efectivo</w:t>
      </w:r>
      <w:r w:rsidRPr="00C21353">
        <w:rPr>
          <w:lang w:val="es-ES"/>
        </w:rPr>
        <w:t>" significa, en relación con cualquier Índice de Tipos de Interés y un Supuesto de Cese, el primer día en que dicho Índice de Tipos de Interés deje de estar disponible.</w:t>
      </w:r>
    </w:p>
    <w:p w14:paraId="50377CD6" w14:textId="448163A1" w:rsidR="004F480F" w:rsidRPr="00C21353" w:rsidRDefault="004F480F" w:rsidP="00696130">
      <w:pPr>
        <w:pStyle w:val="Prrafodelista"/>
        <w:contextualSpacing w:val="0"/>
        <w:rPr>
          <w:lang w:val="es-ES"/>
        </w:rPr>
      </w:pPr>
      <w:r w:rsidRPr="00C21353">
        <w:rPr>
          <w:lang w:val="es-ES"/>
        </w:rPr>
        <w:t>"</w:t>
      </w:r>
      <w:r w:rsidRPr="00C21353">
        <w:rPr>
          <w:b/>
          <w:bCs/>
          <w:lang w:val="es-ES"/>
        </w:rPr>
        <w:t>Fuente Sucesora</w:t>
      </w:r>
      <w:r w:rsidRPr="00C21353">
        <w:rPr>
          <w:lang w:val="es-ES"/>
        </w:rPr>
        <w:t>"</w:t>
      </w:r>
      <w:r w:rsidRPr="00C21353">
        <w:rPr>
          <w:b/>
          <w:bCs/>
          <w:lang w:val="es-ES"/>
        </w:rPr>
        <w:t xml:space="preserve"> </w:t>
      </w:r>
      <w:r w:rsidRPr="00C21353">
        <w:rPr>
          <w:lang w:val="es-ES"/>
        </w:rPr>
        <w:t>significa en relación con cualquier página, publicación o proveedor de información la página, publicación o el proveedor de información que haya sido oficialmente designada por el patrocinador de la página o publicación original o, en su defecto, por el proveedor de información.</w:t>
      </w:r>
    </w:p>
    <w:p w14:paraId="36A4262B" w14:textId="572A4826" w:rsidR="004F480F" w:rsidRPr="00C21353" w:rsidRDefault="004F480F" w:rsidP="00696130">
      <w:pPr>
        <w:ind w:left="708"/>
        <w:rPr>
          <w:lang w:val="es-ES"/>
        </w:rPr>
      </w:pPr>
      <w:r w:rsidRPr="00C21353">
        <w:rPr>
          <w:lang w:val="es-ES"/>
        </w:rPr>
        <w:t>"</w:t>
      </w:r>
      <w:r w:rsidRPr="00C21353">
        <w:rPr>
          <w:b/>
          <w:bCs/>
          <w:lang w:val="es-ES"/>
        </w:rPr>
        <w:t>Índice de Tipos de Interés</w:t>
      </w:r>
      <w:r w:rsidRPr="00C21353">
        <w:rPr>
          <w:lang w:val="es-ES"/>
        </w:rPr>
        <w:t>" significa cualquier índice</w:t>
      </w:r>
      <w:r w:rsidR="00E36254">
        <w:rPr>
          <w:lang w:val="es-ES"/>
        </w:rPr>
        <w:t xml:space="preserve"> </w:t>
      </w:r>
      <w:r w:rsidRPr="00C21353">
        <w:rPr>
          <w:lang w:val="es-ES"/>
        </w:rPr>
        <w:t>necesario para el cálculo de un Tipo de Interés.</w:t>
      </w:r>
    </w:p>
    <w:p w14:paraId="5259133E" w14:textId="77777777" w:rsidR="004F480F" w:rsidRPr="00C21353" w:rsidRDefault="004F480F" w:rsidP="00696130">
      <w:pPr>
        <w:ind w:left="708"/>
        <w:rPr>
          <w:lang w:val="es-ES"/>
        </w:rPr>
      </w:pPr>
      <w:r w:rsidRPr="00C21353">
        <w:rPr>
          <w:lang w:val="es-ES"/>
        </w:rPr>
        <w:t>"</w:t>
      </w:r>
      <w:r w:rsidRPr="00C21353">
        <w:rPr>
          <w:b/>
          <w:bCs/>
          <w:lang w:val="es-ES"/>
        </w:rPr>
        <w:t>Supuesto de Cese</w:t>
      </w:r>
      <w:r w:rsidRPr="00C21353">
        <w:rPr>
          <w:lang w:val="es-ES"/>
        </w:rPr>
        <w:t>" significa, en relación con un Índice de Tipos de Interés, el acaecimiento de uno o más de los siguientes sucesos:</w:t>
      </w:r>
    </w:p>
    <w:p w14:paraId="3E440046" w14:textId="2DDBF9F6" w:rsidR="004F480F" w:rsidRPr="00C21353" w:rsidRDefault="004F480F" w:rsidP="00696130">
      <w:pPr>
        <w:pStyle w:val="Prrafodelista"/>
        <w:ind w:left="1440" w:hanging="720"/>
        <w:contextualSpacing w:val="0"/>
        <w:rPr>
          <w:lang w:val="es-ES"/>
        </w:rPr>
      </w:pPr>
      <w:r w:rsidRPr="00C21353">
        <w:rPr>
          <w:lang w:val="es-ES"/>
        </w:rPr>
        <w:t>(a)</w:t>
      </w:r>
      <w:r w:rsidRPr="00C21353">
        <w:rPr>
          <w:lang w:val="es-ES"/>
        </w:rPr>
        <w:tab/>
      </w:r>
      <w:r w:rsidR="007C447C" w:rsidRPr="002135B5">
        <w:rPr>
          <w:lang w:val="es-ES"/>
        </w:rPr>
        <w:t xml:space="preserve">una declaración pública o publicación de información por parte del administrador de dicho </w:t>
      </w:r>
      <w:r w:rsidR="007C447C">
        <w:rPr>
          <w:lang w:val="es-ES"/>
        </w:rPr>
        <w:t>Í</w:t>
      </w:r>
      <w:r w:rsidR="007C447C" w:rsidRPr="002135B5">
        <w:rPr>
          <w:lang w:val="es-ES"/>
        </w:rPr>
        <w:t xml:space="preserve">ndice anunciando que ha dejado, o dejará, de publicar el mismo de forma permanente o indefinida, siempre que, en el momento de dicha declaración o publicación, no exista un administrador sucesor que vaya a continuar publicando dicho </w:t>
      </w:r>
      <w:r w:rsidR="007C447C">
        <w:rPr>
          <w:lang w:val="es-ES"/>
        </w:rPr>
        <w:t>Í</w:t>
      </w:r>
      <w:r w:rsidR="007C447C" w:rsidRPr="002135B5">
        <w:rPr>
          <w:lang w:val="es-ES"/>
        </w:rPr>
        <w:t>ndice; o</w:t>
      </w:r>
    </w:p>
    <w:p w14:paraId="51CB5399" w14:textId="285FC02B" w:rsidR="004F480F" w:rsidRPr="00C21353" w:rsidRDefault="004F480F" w:rsidP="00696130">
      <w:pPr>
        <w:pStyle w:val="Prrafodelista"/>
        <w:ind w:left="1440" w:hanging="720"/>
        <w:contextualSpacing w:val="0"/>
        <w:rPr>
          <w:lang w:val="es-ES"/>
        </w:rPr>
      </w:pPr>
      <w:r w:rsidRPr="00C21353">
        <w:rPr>
          <w:lang w:val="es-ES"/>
        </w:rPr>
        <w:t>(b)</w:t>
      </w:r>
      <w:r w:rsidRPr="00C21353">
        <w:rPr>
          <w:lang w:val="es-ES"/>
        </w:rPr>
        <w:tab/>
      </w:r>
      <w:r w:rsidR="007C447C" w:rsidRPr="002135B5">
        <w:rPr>
          <w:lang w:val="es-ES"/>
        </w:rPr>
        <w:t xml:space="preserve">una declaración pública o publicación de información por parte del supervisor regulador del administrador de dicho </w:t>
      </w:r>
      <w:r w:rsidR="007C447C">
        <w:rPr>
          <w:lang w:val="es-ES"/>
        </w:rPr>
        <w:t>Í</w:t>
      </w:r>
      <w:r w:rsidR="007C447C" w:rsidRPr="002135B5">
        <w:rPr>
          <w:lang w:val="es-ES"/>
        </w:rPr>
        <w:t xml:space="preserve">ndice, el banco central de la moneda del </w:t>
      </w:r>
      <w:r w:rsidR="007C447C">
        <w:rPr>
          <w:lang w:val="es-ES"/>
        </w:rPr>
        <w:t>Í</w:t>
      </w:r>
      <w:r w:rsidR="007C447C" w:rsidRPr="002135B5">
        <w:rPr>
          <w:lang w:val="es-ES"/>
        </w:rPr>
        <w:t xml:space="preserve">ndice, un administrador concursal con jurisdicción sobre el administrador del </w:t>
      </w:r>
      <w:r w:rsidR="007C447C">
        <w:rPr>
          <w:lang w:val="es-ES"/>
        </w:rPr>
        <w:t>Í</w:t>
      </w:r>
      <w:r w:rsidR="007C447C" w:rsidRPr="002135B5">
        <w:rPr>
          <w:lang w:val="es-ES"/>
        </w:rPr>
        <w:t xml:space="preserve">ndice, una autoridad de resolución con jurisdicción sobre el administrador del Índice o un tribunal o una entidad con similares competencias concursales o de resolución sobre el administrador del </w:t>
      </w:r>
      <w:r w:rsidR="007C447C">
        <w:rPr>
          <w:lang w:val="es-ES"/>
        </w:rPr>
        <w:t>Í</w:t>
      </w:r>
      <w:r w:rsidR="007C447C" w:rsidRPr="002135B5">
        <w:rPr>
          <w:lang w:val="es-ES"/>
        </w:rPr>
        <w:t xml:space="preserve">ndice, que declare que dicho administrador ha dejado o dejará de proporcionar el </w:t>
      </w:r>
      <w:r w:rsidR="007C447C">
        <w:rPr>
          <w:lang w:val="es-ES"/>
        </w:rPr>
        <w:t>Í</w:t>
      </w:r>
      <w:r w:rsidR="007C447C" w:rsidRPr="002135B5">
        <w:rPr>
          <w:lang w:val="es-ES"/>
        </w:rPr>
        <w:t xml:space="preserve">ndice </w:t>
      </w:r>
      <w:r w:rsidR="007C447C">
        <w:rPr>
          <w:lang w:val="es-ES"/>
        </w:rPr>
        <w:t xml:space="preserve">de Tipos de Interés </w:t>
      </w:r>
      <w:r w:rsidR="007C447C" w:rsidRPr="002135B5">
        <w:rPr>
          <w:lang w:val="es-ES"/>
        </w:rPr>
        <w:lastRenderedPageBreak/>
        <w:t>de forma permanente o indefinida, siempre que, en el momento de dicha declaración o publicación, no exista un administrador sucesor que vaya a continuar proporcionando dicho índice; o</w:t>
      </w:r>
    </w:p>
    <w:p w14:paraId="0052EA14" w14:textId="387A57BB" w:rsidR="004F480F" w:rsidRPr="00C21353" w:rsidRDefault="004F480F" w:rsidP="00696130">
      <w:pPr>
        <w:pStyle w:val="Prrafodelista"/>
        <w:ind w:left="1440" w:hanging="720"/>
        <w:contextualSpacing w:val="0"/>
        <w:rPr>
          <w:lang w:val="es-ES"/>
        </w:rPr>
      </w:pPr>
      <w:r w:rsidRPr="00C21353">
        <w:rPr>
          <w:lang w:val="es-ES"/>
        </w:rPr>
        <w:t>(c)</w:t>
      </w:r>
      <w:r w:rsidRPr="00C21353">
        <w:rPr>
          <w:lang w:val="es-ES"/>
        </w:rPr>
        <w:tab/>
        <w:t>en relación exclusivamente con el EONIA, el anuncio por parte del EMMI del 31 de mayo de 2019 de que el EONIA se interrumpirá el 3 de enero de 2022.</w:t>
      </w:r>
    </w:p>
    <w:p w14:paraId="201D2237" w14:textId="0C1EB585" w:rsidR="00696130" w:rsidRDefault="004F480F" w:rsidP="00696130">
      <w:pPr>
        <w:ind w:left="705"/>
        <w:rPr>
          <w:lang w:val="es-ES"/>
        </w:rPr>
      </w:pPr>
      <w:r w:rsidRPr="00FA3E02">
        <w:rPr>
          <w:lang w:val="es-ES"/>
        </w:rPr>
        <w:t>"</w:t>
      </w:r>
      <w:r w:rsidRPr="00C21353">
        <w:rPr>
          <w:b/>
          <w:bCs/>
          <w:lang w:val="es-ES"/>
        </w:rPr>
        <w:t>Tipo de Interés</w:t>
      </w:r>
      <w:r w:rsidRPr="00C21353">
        <w:rPr>
          <w:lang w:val="es-ES"/>
        </w:rPr>
        <w:t>" significa el tipo o referencia especificado como Tipo de Interés en el correspondiente Anexo III.</w:t>
      </w:r>
    </w:p>
    <w:p w14:paraId="5185B400" w14:textId="7654B10E" w:rsidR="00A008F9" w:rsidRPr="00C21353" w:rsidRDefault="004F480F" w:rsidP="00696130">
      <w:pPr>
        <w:pStyle w:val="Textoindependiente"/>
        <w:rPr>
          <w:b/>
          <w:bCs/>
          <w:lang w:val="es-ES"/>
        </w:rPr>
      </w:pPr>
      <w:r w:rsidRPr="00C21353">
        <w:rPr>
          <w:b/>
          <w:bCs/>
          <w:lang w:val="es-ES"/>
        </w:rPr>
        <w:t>2</w:t>
      </w:r>
      <w:r w:rsidR="002222A7" w:rsidRPr="00C21353">
        <w:rPr>
          <w:b/>
          <w:bCs/>
          <w:lang w:val="es-ES"/>
        </w:rPr>
        <w:t>.</w:t>
      </w:r>
      <w:r w:rsidR="002222A7" w:rsidRPr="00C21353">
        <w:rPr>
          <w:b/>
          <w:bCs/>
          <w:lang w:val="es-ES"/>
        </w:rPr>
        <w:tab/>
      </w:r>
      <w:r w:rsidR="00A008F9" w:rsidRPr="00C21353">
        <w:rPr>
          <w:b/>
          <w:bCs/>
          <w:lang w:val="es-ES"/>
        </w:rPr>
        <w:t>EUROSTR (TIPO PARA COLATERAL) Y MEDIDAS ALTERNATIVAS</w:t>
      </w:r>
    </w:p>
    <w:p w14:paraId="11573F0B" w14:textId="233A0000" w:rsidR="00A008F9" w:rsidRPr="00C21353" w:rsidRDefault="004F480F" w:rsidP="00696130">
      <w:pPr>
        <w:rPr>
          <w:lang w:val="es-ES"/>
        </w:rPr>
      </w:pPr>
      <w:r w:rsidRPr="00C21353">
        <w:rPr>
          <w:b/>
          <w:bCs/>
          <w:lang w:val="es-ES"/>
        </w:rPr>
        <w:t>2</w:t>
      </w:r>
      <w:r w:rsidR="00A008F9" w:rsidRPr="00C21353">
        <w:rPr>
          <w:b/>
          <w:bCs/>
          <w:lang w:val="es-ES"/>
        </w:rPr>
        <w:t>.</w:t>
      </w:r>
      <w:r w:rsidR="002222A7" w:rsidRPr="00C21353">
        <w:rPr>
          <w:b/>
          <w:bCs/>
          <w:lang w:val="es-ES"/>
        </w:rPr>
        <w:t>1</w:t>
      </w:r>
      <w:r w:rsidR="00A008F9" w:rsidRPr="00C21353">
        <w:rPr>
          <w:b/>
          <w:bCs/>
          <w:lang w:val="es-ES"/>
        </w:rPr>
        <w:tab/>
        <w:t>Definición de</w:t>
      </w:r>
      <w:r w:rsidR="00A008F9" w:rsidRPr="00C21353">
        <w:rPr>
          <w:lang w:val="es-ES"/>
        </w:rPr>
        <w:t xml:space="preserve"> </w:t>
      </w:r>
      <w:r w:rsidR="00A008F9" w:rsidRPr="00C21353">
        <w:rPr>
          <w:b/>
          <w:bCs/>
          <w:lang w:val="es-ES"/>
        </w:rPr>
        <w:t>EuroSTR</w:t>
      </w:r>
      <w:r w:rsidR="00A008F9" w:rsidRPr="00C21353">
        <w:rPr>
          <w:lang w:val="es-ES"/>
        </w:rPr>
        <w:t xml:space="preserve"> </w:t>
      </w:r>
      <w:r w:rsidR="00A008F9" w:rsidRPr="00C21353">
        <w:rPr>
          <w:b/>
          <w:bCs/>
          <w:lang w:val="es-ES"/>
        </w:rPr>
        <w:t>(Tipo para Colateral)</w:t>
      </w:r>
    </w:p>
    <w:p w14:paraId="5B1A30B5" w14:textId="362EE8EC" w:rsidR="00A008F9" w:rsidRPr="00C21353" w:rsidRDefault="00A008F9" w:rsidP="00696130">
      <w:pPr>
        <w:ind w:left="708"/>
        <w:rPr>
          <w:lang w:val="es-ES"/>
        </w:rPr>
      </w:pPr>
      <w:r w:rsidRPr="00C21353">
        <w:rPr>
          <w:lang w:val="es-ES"/>
        </w:rPr>
        <w:t>"</w:t>
      </w:r>
      <w:r w:rsidRPr="00C21353">
        <w:rPr>
          <w:b/>
          <w:bCs/>
          <w:lang w:val="es-ES"/>
        </w:rPr>
        <w:t>EuroSTR (Tipo para Colateral)</w:t>
      </w:r>
      <w:r w:rsidRPr="00C21353">
        <w:rPr>
          <w:lang w:val="es-ES"/>
        </w:rPr>
        <w:t>" significa, con respecto a un determinado día,</w:t>
      </w:r>
      <w:r w:rsidRPr="00C21353">
        <w:rPr>
          <w:b/>
          <w:bCs/>
          <w:lang w:val="es-ES"/>
        </w:rPr>
        <w:t xml:space="preserve"> </w:t>
      </w:r>
      <w:r w:rsidRPr="00C21353">
        <w:rPr>
          <w:lang w:val="es-ES"/>
        </w:rPr>
        <w:t xml:space="preserve">el nivel del </w:t>
      </w:r>
      <w:r w:rsidR="00E36254">
        <w:rPr>
          <w:lang w:val="es-ES"/>
        </w:rPr>
        <w:t>E</w:t>
      </w:r>
      <w:r w:rsidR="004F4C04">
        <w:rPr>
          <w:lang w:val="es-ES"/>
        </w:rPr>
        <w:t>u</w:t>
      </w:r>
      <w:r w:rsidR="00E36254">
        <w:rPr>
          <w:lang w:val="es-ES"/>
        </w:rPr>
        <w:t>roSTR</w:t>
      </w:r>
      <w:r w:rsidRPr="00C21353">
        <w:rPr>
          <w:lang w:val="es-ES"/>
        </w:rPr>
        <w:t xml:space="preserve"> con respecto a ese día (o, si el mismo no es un Día Hábil TARGET2, con respecto al Día Hábil TARGET2 inmediatamente anterior).</w:t>
      </w:r>
    </w:p>
    <w:p w14:paraId="16CB73F0" w14:textId="19EE9791" w:rsidR="00A008F9" w:rsidRPr="00C21353" w:rsidRDefault="004F480F" w:rsidP="00696130">
      <w:pPr>
        <w:pStyle w:val="Default"/>
        <w:spacing w:after="240"/>
        <w:jc w:val="both"/>
        <w:rPr>
          <w:b/>
          <w:bCs/>
          <w:color w:val="auto"/>
        </w:rPr>
      </w:pPr>
      <w:r w:rsidRPr="00C21353">
        <w:rPr>
          <w:b/>
          <w:bCs/>
          <w:color w:val="auto"/>
        </w:rPr>
        <w:t>2</w:t>
      </w:r>
      <w:r w:rsidR="002222A7" w:rsidRPr="00C21353">
        <w:rPr>
          <w:b/>
          <w:bCs/>
          <w:color w:val="auto"/>
        </w:rPr>
        <w:t>.</w:t>
      </w:r>
      <w:r w:rsidR="00A008F9" w:rsidRPr="00C21353">
        <w:rPr>
          <w:b/>
          <w:bCs/>
          <w:color w:val="auto"/>
        </w:rPr>
        <w:t>2</w:t>
      </w:r>
      <w:r w:rsidR="00A008F9" w:rsidRPr="00C21353">
        <w:rPr>
          <w:b/>
          <w:bCs/>
          <w:color w:val="auto"/>
        </w:rPr>
        <w:tab/>
        <w:t>Medidas alternativas para un Supuesto de Cese del EuroSTR</w:t>
      </w:r>
    </w:p>
    <w:p w14:paraId="162B6C0C" w14:textId="26AC0C8D" w:rsidR="00A008F9" w:rsidRPr="00C21353" w:rsidRDefault="004F480F" w:rsidP="00696130">
      <w:pPr>
        <w:pStyle w:val="Default"/>
        <w:spacing w:after="240"/>
        <w:ind w:left="709" w:hanging="709"/>
        <w:jc w:val="both"/>
        <w:rPr>
          <w:color w:val="000000" w:themeColor="text1"/>
        </w:rPr>
      </w:pPr>
      <w:r w:rsidRPr="00C21353">
        <w:rPr>
          <w:color w:val="000000" w:themeColor="text1"/>
        </w:rPr>
        <w:t>2</w:t>
      </w:r>
      <w:r w:rsidR="002222A7" w:rsidRPr="00C21353">
        <w:rPr>
          <w:color w:val="000000" w:themeColor="text1"/>
        </w:rPr>
        <w:t>.</w:t>
      </w:r>
      <w:r w:rsidR="00A008F9" w:rsidRPr="00C21353">
        <w:rPr>
          <w:color w:val="000000" w:themeColor="text1"/>
        </w:rPr>
        <w:t>2.1</w:t>
      </w:r>
      <w:r w:rsidR="00A008F9" w:rsidRPr="00C21353">
        <w:rPr>
          <w:color w:val="000000" w:themeColor="text1"/>
        </w:rPr>
        <w:tab/>
        <w:t xml:space="preserve">En caso de producirse un Supuesto de Cese del EuroSTR, el tipo de interés para cada día a partir de la Fecha de Cese Efectivo del EuroSTR (incluida) se determinará como si las referencias al </w:t>
      </w:r>
      <w:r w:rsidR="00950671">
        <w:t>"</w:t>
      </w:r>
      <w:r w:rsidR="00A008F9" w:rsidRPr="00C21353">
        <w:rPr>
          <w:color w:val="000000" w:themeColor="text1"/>
        </w:rPr>
        <w:t>EuroSTR (Tipo para Colateral)</w:t>
      </w:r>
      <w:r w:rsidR="00950671">
        <w:t>"</w:t>
      </w:r>
      <w:r w:rsidR="00A008F9" w:rsidRPr="00C21353">
        <w:rPr>
          <w:color w:val="000000" w:themeColor="text1"/>
        </w:rPr>
        <w:t xml:space="preserve"> estuviesen hechas al Tipo Recomendado BCE (EuroSTR).</w:t>
      </w:r>
    </w:p>
    <w:p w14:paraId="1ADCC222" w14:textId="0A8BC1B2" w:rsidR="00A008F9" w:rsidRPr="00C21353" w:rsidRDefault="00A008F9" w:rsidP="00696130">
      <w:pPr>
        <w:pStyle w:val="Default"/>
        <w:spacing w:after="240"/>
        <w:ind w:left="708"/>
        <w:jc w:val="both"/>
      </w:pPr>
      <w:bookmarkStart w:id="2" w:name="_Hlk28951873"/>
      <w:r w:rsidRPr="00C21353">
        <w:t>"</w:t>
      </w:r>
      <w:r w:rsidRPr="00C21353">
        <w:rPr>
          <w:b/>
          <w:bCs/>
        </w:rPr>
        <w:t>Tipo Recomendado BCE (EuroSTR)</w:t>
      </w:r>
      <w:r w:rsidRPr="00C21353">
        <w:t>" significa, con respecto a un determinado día, el nivel del tipo (incluyendo los correspondientes diferenciales o ajustes) recomendado como sustituto del EuroSTR por el BCE (o por cualquier administrador sucesor del EuroSTR) y/o por un comité oficialmente respaldado o convocado por el BCE (o por cualquier administrador sucesor del EuroSTR) para efectuar dicha recomendación (en el entendido de que dicho tipo puede ser producido por el BCE o por cualquier otro administrador) publicado o proporcionado por el administrador del mismo con respecto a dicho día (o, si el mismo no es un Día Hábil TARGET2, con respecto al Día Hábil TARGET2 inmediatamente anterior).</w:t>
      </w:r>
    </w:p>
    <w:bookmarkEnd w:id="2"/>
    <w:p w14:paraId="2210478E" w14:textId="74F6D0C0" w:rsidR="00A008F9" w:rsidRPr="00C21353" w:rsidRDefault="004F480F" w:rsidP="00696130">
      <w:pPr>
        <w:pStyle w:val="Default"/>
        <w:spacing w:after="240"/>
        <w:jc w:val="both"/>
        <w:rPr>
          <w:color w:val="000000" w:themeColor="text1"/>
        </w:rPr>
      </w:pPr>
      <w:r w:rsidRPr="00C21353">
        <w:rPr>
          <w:color w:val="000000" w:themeColor="text1"/>
        </w:rPr>
        <w:t>2</w:t>
      </w:r>
      <w:r w:rsidR="002222A7" w:rsidRPr="00C21353">
        <w:rPr>
          <w:color w:val="000000" w:themeColor="text1"/>
        </w:rPr>
        <w:t>.</w:t>
      </w:r>
      <w:r w:rsidR="00A008F9" w:rsidRPr="00C21353">
        <w:rPr>
          <w:color w:val="000000" w:themeColor="text1"/>
        </w:rPr>
        <w:t>2.2</w:t>
      </w:r>
      <w:r w:rsidR="00A008F9" w:rsidRPr="00C21353">
        <w:rPr>
          <w:color w:val="000000" w:themeColor="text1"/>
        </w:rPr>
        <w:tab/>
        <w:t>En el caso de que:</w:t>
      </w:r>
    </w:p>
    <w:p w14:paraId="6595C4B6" w14:textId="35977CA4" w:rsidR="00A008F9" w:rsidRPr="00C21353" w:rsidRDefault="00A008F9" w:rsidP="00696130">
      <w:pPr>
        <w:pStyle w:val="Default"/>
        <w:spacing w:after="240"/>
        <w:ind w:left="1428" w:hanging="720"/>
        <w:jc w:val="both"/>
        <w:rPr>
          <w:color w:val="000000" w:themeColor="text1"/>
        </w:rPr>
      </w:pPr>
      <w:r w:rsidRPr="00C21353">
        <w:rPr>
          <w:color w:val="000000" w:themeColor="text1"/>
        </w:rPr>
        <w:t xml:space="preserve">(a) </w:t>
      </w:r>
      <w:r w:rsidRPr="00C21353">
        <w:rPr>
          <w:color w:val="000000" w:themeColor="text1"/>
        </w:rPr>
        <w:tab/>
        <w:t xml:space="preserve">no existiese el Tipo Recomendado BCE (EuroSTR) a la finalización del primer Día Hábil TARGET2 posterior al día en el que se hubiese producido un Supuesto de Cese del EuroSTR, entonces el tipo para cada día a partir de la Fecha de Cese Efectivo del EuroSTR (incluida) se determinará como si las referencias al </w:t>
      </w:r>
      <w:r w:rsidR="00950671">
        <w:t>"</w:t>
      </w:r>
      <w:r w:rsidRPr="00C21353">
        <w:t>EuroSTR</w:t>
      </w:r>
      <w:r w:rsidRPr="00C21353">
        <w:rPr>
          <w:color w:val="000000" w:themeColor="text1"/>
        </w:rPr>
        <w:t xml:space="preserve"> (Tipo para Colateral)</w:t>
      </w:r>
      <w:r w:rsidR="00950671">
        <w:t>"</w:t>
      </w:r>
      <w:r w:rsidRPr="00C21353">
        <w:rPr>
          <w:color w:val="000000" w:themeColor="text1"/>
        </w:rPr>
        <w:t xml:space="preserve"> estuviesen hechas al EDFR Modificado (</w:t>
      </w:r>
      <w:r w:rsidRPr="00C21353">
        <w:t>EuroSTR</w:t>
      </w:r>
      <w:r w:rsidRPr="00C21353">
        <w:rPr>
          <w:color w:val="000000" w:themeColor="text1"/>
        </w:rPr>
        <w:t>); o</w:t>
      </w:r>
    </w:p>
    <w:p w14:paraId="3DA867D0" w14:textId="209F752A" w:rsidR="00A008F9" w:rsidRPr="00C21353" w:rsidRDefault="00A008F9" w:rsidP="00696130">
      <w:pPr>
        <w:pStyle w:val="Default"/>
        <w:spacing w:after="240"/>
        <w:ind w:left="1428" w:hanging="720"/>
        <w:jc w:val="both"/>
        <w:rPr>
          <w:color w:val="auto"/>
        </w:rPr>
      </w:pPr>
      <w:r w:rsidRPr="00C21353">
        <w:rPr>
          <w:color w:val="auto"/>
        </w:rPr>
        <w:t xml:space="preserve">(b) </w:t>
      </w:r>
      <w:r w:rsidRPr="00C21353">
        <w:rPr>
          <w:color w:val="auto"/>
        </w:rPr>
        <w:tab/>
        <w:t xml:space="preserve">se produjera con posterioridad un Supuesto de Cese del Tipo Recomendado BCE (EuroSTR), entonces, el tipo de interés para cada día a partir de la Fecha de Cese Efectivo del Tipo Recomendado BCE (EuroSTR), se determinará como si las referencias al </w:t>
      </w:r>
      <w:r w:rsidR="00950671">
        <w:t>"</w:t>
      </w:r>
      <w:r w:rsidRPr="00C21353">
        <w:t>EuroSTR</w:t>
      </w:r>
      <w:r w:rsidRPr="00C21353">
        <w:rPr>
          <w:color w:val="000000" w:themeColor="text1"/>
        </w:rPr>
        <w:t xml:space="preserve"> (Tipo para Colateral)</w:t>
      </w:r>
      <w:r w:rsidR="00950671">
        <w:t>"</w:t>
      </w:r>
      <w:r w:rsidRPr="00C21353">
        <w:rPr>
          <w:color w:val="000000" w:themeColor="text1"/>
        </w:rPr>
        <w:t xml:space="preserve"> </w:t>
      </w:r>
      <w:r w:rsidRPr="00C21353">
        <w:rPr>
          <w:color w:val="auto"/>
        </w:rPr>
        <w:t>estuviesen hechas al EDFR Modificado (EuroSTR).</w:t>
      </w:r>
    </w:p>
    <w:p w14:paraId="00A36D69" w14:textId="40F59F19" w:rsidR="00A008F9" w:rsidRPr="00C21353" w:rsidRDefault="00A008F9" w:rsidP="00696130">
      <w:pPr>
        <w:ind w:left="708"/>
        <w:rPr>
          <w:lang w:val="es-ES"/>
        </w:rPr>
      </w:pPr>
      <w:r w:rsidRPr="00F63215">
        <w:rPr>
          <w:lang w:val="es-ES"/>
        </w:rPr>
        <w:t>"</w:t>
      </w:r>
      <w:r w:rsidRPr="00C21353">
        <w:rPr>
          <w:b/>
          <w:bCs/>
          <w:lang w:val="es-ES"/>
        </w:rPr>
        <w:t>EDFR Modificado (EuroSTR)</w:t>
      </w:r>
      <w:r w:rsidRPr="00F63215">
        <w:rPr>
          <w:lang w:val="es-ES"/>
        </w:rPr>
        <w:t>"</w:t>
      </w:r>
      <w:r w:rsidRPr="00C21353">
        <w:rPr>
          <w:b/>
          <w:bCs/>
          <w:lang w:val="es-ES"/>
        </w:rPr>
        <w:t xml:space="preserve"> </w:t>
      </w:r>
      <w:r w:rsidRPr="00C21353">
        <w:rPr>
          <w:lang w:val="es-ES"/>
        </w:rPr>
        <w:t xml:space="preserve">significa, con respecto a un determinado día, el nivel del Tipo de Depósito del Eurosistema publicado o proporcionado por el administrador </w:t>
      </w:r>
      <w:r w:rsidRPr="00C21353">
        <w:rPr>
          <w:lang w:val="es-ES"/>
        </w:rPr>
        <w:lastRenderedPageBreak/>
        <w:t>del mismo con respecto a dicho día (o, si el mismo no es un Día Hábil TARGET2, al Día Hábil TARGET2 inmediatamente anterior) más el Diferencial del EDFR.</w:t>
      </w:r>
    </w:p>
    <w:p w14:paraId="18A8F644" w14:textId="29E562D1" w:rsidR="00A008F9" w:rsidRPr="00C21353" w:rsidRDefault="00A008F9" w:rsidP="00696130">
      <w:pPr>
        <w:pStyle w:val="Default"/>
        <w:spacing w:after="240"/>
        <w:ind w:left="708"/>
        <w:jc w:val="both"/>
        <w:rPr>
          <w:color w:val="auto"/>
        </w:rPr>
      </w:pPr>
      <w:r w:rsidRPr="00C21353">
        <w:rPr>
          <w:color w:val="auto"/>
        </w:rPr>
        <w:t>"</w:t>
      </w:r>
      <w:r w:rsidRPr="00C21353">
        <w:rPr>
          <w:b/>
          <w:bCs/>
          <w:color w:val="auto"/>
        </w:rPr>
        <w:t>Tipo de Depósito del Eurosistema</w:t>
      </w:r>
      <w:r w:rsidRPr="00C21353">
        <w:rPr>
          <w:color w:val="auto"/>
        </w:rPr>
        <w:t>"</w:t>
      </w:r>
      <w:r w:rsidRPr="00C21353">
        <w:rPr>
          <w:b/>
          <w:bCs/>
          <w:color w:val="auto"/>
        </w:rPr>
        <w:t xml:space="preserve"> </w:t>
      </w:r>
      <w:r w:rsidRPr="00C21353">
        <w:rPr>
          <w:color w:val="auto"/>
        </w:rPr>
        <w:t>significa el tipo de interés pagadero en relación con la facilidad de depósito que los bancos pueden emplear para efectuar depósitos a un día en el Eurosistema, publicado en la página web del BCE (o su Fuente Sucesora).</w:t>
      </w:r>
    </w:p>
    <w:p w14:paraId="24FC4D1F" w14:textId="11266F62" w:rsidR="00A008F9" w:rsidRPr="00C21353" w:rsidRDefault="00A008F9" w:rsidP="00696130">
      <w:pPr>
        <w:pStyle w:val="Default"/>
        <w:spacing w:after="240"/>
        <w:ind w:firstLine="708"/>
        <w:jc w:val="both"/>
        <w:rPr>
          <w:color w:val="auto"/>
        </w:rPr>
      </w:pPr>
      <w:r w:rsidRPr="00C21353">
        <w:rPr>
          <w:color w:val="auto"/>
        </w:rPr>
        <w:t>"</w:t>
      </w:r>
      <w:r w:rsidR="00C473CC" w:rsidRPr="00C21353">
        <w:rPr>
          <w:b/>
          <w:bCs/>
          <w:color w:val="auto"/>
        </w:rPr>
        <w:t>Diferencial del EDFR</w:t>
      </w:r>
      <w:r w:rsidRPr="00C21353">
        <w:rPr>
          <w:color w:val="auto"/>
        </w:rPr>
        <w:t>" significa:</w:t>
      </w:r>
    </w:p>
    <w:p w14:paraId="7E276900" w14:textId="1B84DF57" w:rsidR="00A008F9" w:rsidRPr="00C21353" w:rsidRDefault="00A008F9" w:rsidP="00696130">
      <w:pPr>
        <w:pStyle w:val="Default"/>
        <w:spacing w:after="240"/>
        <w:ind w:left="1440" w:hanging="720"/>
        <w:jc w:val="both"/>
        <w:rPr>
          <w:color w:val="auto"/>
        </w:rPr>
      </w:pPr>
      <w:r w:rsidRPr="00C21353">
        <w:rPr>
          <w:color w:val="auto"/>
        </w:rPr>
        <w:t xml:space="preserve">(i) </w:t>
      </w:r>
      <w:r w:rsidRPr="00C21353">
        <w:rPr>
          <w:color w:val="auto"/>
        </w:rPr>
        <w:tab/>
        <w:t>si no se hubiese recomendado un Tipo Recomendado BCE (EuroSTR) antes de la finalización del primer Día Hábil TARGET2 siguiente a la fecha en la que se hubiese producido un Supuesto de Cese del EuroSTR: la media aritmética de la diferencia diaria entre el EuroSTR y el Tipo de Depósito del Eurosistema durante los treinta (30) Días Hábiles TARGET2 inmediatamente anteriores al día en el que hubiese acaecido dicho Supuesto de Cese del EuroSTR; o</w:t>
      </w:r>
    </w:p>
    <w:p w14:paraId="48F4192D" w14:textId="5378CDA4" w:rsidR="00A008F9" w:rsidRPr="00C21353" w:rsidRDefault="00A008F9" w:rsidP="00696130">
      <w:pPr>
        <w:pStyle w:val="Default"/>
        <w:spacing w:after="240"/>
        <w:ind w:left="1440" w:hanging="720"/>
        <w:jc w:val="both"/>
        <w:rPr>
          <w:color w:val="auto"/>
        </w:rPr>
      </w:pPr>
      <w:r w:rsidRPr="00C21353">
        <w:rPr>
          <w:color w:val="auto"/>
        </w:rPr>
        <w:t>(ii)</w:t>
      </w:r>
      <w:r w:rsidRPr="00C21353">
        <w:rPr>
          <w:color w:val="auto"/>
        </w:rPr>
        <w:tab/>
        <w:t xml:space="preserve">si se produjera un Supuesto de Cese del Tipo Recomendado BCE (EuroSTR): la media aritmética de la diferencia diaria entre el Tipo Recomendado BCE (EuroSTR) y el Tipo de Depósito del Eurosistema durante los treinta (30) Días Hábiles TARGET2 inmediatamente anteriores al día en el que hubiese acaecido dicho Supuesto de Cese del Tipo Recomendado BCE (EuroSTR). </w:t>
      </w:r>
    </w:p>
    <w:p w14:paraId="5776B26E" w14:textId="672983AA" w:rsidR="00A008F9" w:rsidRPr="00C21353" w:rsidRDefault="004F480F" w:rsidP="00696130">
      <w:pPr>
        <w:pStyle w:val="Textoindependiente"/>
        <w:rPr>
          <w:b/>
          <w:bCs/>
          <w:lang w:val="es-ES"/>
        </w:rPr>
      </w:pPr>
      <w:r w:rsidRPr="00C21353">
        <w:rPr>
          <w:b/>
          <w:bCs/>
          <w:lang w:val="es-ES"/>
        </w:rPr>
        <w:t>3</w:t>
      </w:r>
      <w:r w:rsidR="002222A7" w:rsidRPr="00C21353">
        <w:rPr>
          <w:b/>
          <w:bCs/>
          <w:lang w:val="es-ES"/>
        </w:rPr>
        <w:t>.</w:t>
      </w:r>
      <w:r w:rsidR="002222A7" w:rsidRPr="00C21353">
        <w:rPr>
          <w:b/>
          <w:bCs/>
          <w:lang w:val="es-ES"/>
        </w:rPr>
        <w:tab/>
      </w:r>
      <w:r w:rsidR="00A008F9" w:rsidRPr="00C21353">
        <w:rPr>
          <w:b/>
          <w:bCs/>
          <w:lang w:val="es-ES"/>
        </w:rPr>
        <w:t>EONIA (TIPO PARA COLATERAL) Y MEDIDAS ALTERNATIVAS</w:t>
      </w:r>
    </w:p>
    <w:p w14:paraId="7FA8130E" w14:textId="5C75FFE4" w:rsidR="00A008F9" w:rsidRPr="00C21353" w:rsidRDefault="004F480F" w:rsidP="00696130">
      <w:pPr>
        <w:rPr>
          <w:lang w:val="es-ES"/>
        </w:rPr>
      </w:pPr>
      <w:r w:rsidRPr="00C21353">
        <w:rPr>
          <w:b/>
          <w:bCs/>
          <w:lang w:val="es-ES"/>
        </w:rPr>
        <w:t>3</w:t>
      </w:r>
      <w:r w:rsidR="002222A7" w:rsidRPr="00C21353">
        <w:rPr>
          <w:b/>
          <w:bCs/>
          <w:lang w:val="es-ES"/>
        </w:rPr>
        <w:t>.</w:t>
      </w:r>
      <w:r w:rsidR="00A008F9" w:rsidRPr="00C21353">
        <w:rPr>
          <w:b/>
          <w:bCs/>
          <w:lang w:val="es-ES"/>
        </w:rPr>
        <w:t>1</w:t>
      </w:r>
      <w:r w:rsidR="00A008F9" w:rsidRPr="00C21353">
        <w:rPr>
          <w:b/>
          <w:bCs/>
          <w:lang w:val="es-ES"/>
        </w:rPr>
        <w:tab/>
        <w:t>Definición de</w:t>
      </w:r>
      <w:r w:rsidR="00A008F9" w:rsidRPr="00C21353">
        <w:rPr>
          <w:lang w:val="es-ES"/>
        </w:rPr>
        <w:t xml:space="preserve"> </w:t>
      </w:r>
      <w:r w:rsidR="00A008F9" w:rsidRPr="00C21353">
        <w:rPr>
          <w:b/>
          <w:bCs/>
          <w:lang w:val="es-ES"/>
        </w:rPr>
        <w:t>EONIA</w:t>
      </w:r>
      <w:r w:rsidR="00A008F9" w:rsidRPr="00C21353">
        <w:rPr>
          <w:lang w:val="es-ES"/>
        </w:rPr>
        <w:t xml:space="preserve"> </w:t>
      </w:r>
      <w:r w:rsidR="00A008F9" w:rsidRPr="00C21353">
        <w:rPr>
          <w:b/>
          <w:bCs/>
          <w:lang w:val="es-ES"/>
        </w:rPr>
        <w:t>(Tipo para Colateral)</w:t>
      </w:r>
    </w:p>
    <w:p w14:paraId="6DEFEBE8" w14:textId="77777777" w:rsidR="00A008F9" w:rsidRPr="00C21353" w:rsidRDefault="00A008F9" w:rsidP="00696130">
      <w:pPr>
        <w:ind w:left="708"/>
        <w:rPr>
          <w:lang w:val="es-ES"/>
        </w:rPr>
      </w:pPr>
      <w:r w:rsidRPr="00C21353">
        <w:rPr>
          <w:lang w:val="es-ES"/>
        </w:rPr>
        <w:t>"</w:t>
      </w:r>
      <w:r w:rsidRPr="00C21353">
        <w:rPr>
          <w:b/>
          <w:bCs/>
          <w:lang w:val="es-ES"/>
        </w:rPr>
        <w:t>EONIA (Tipo para Colateral)</w:t>
      </w:r>
      <w:r w:rsidRPr="00FA3E02">
        <w:rPr>
          <w:lang w:val="es-ES"/>
        </w:rPr>
        <w:t>"</w:t>
      </w:r>
      <w:r w:rsidRPr="00C21353">
        <w:rPr>
          <w:lang w:val="es-ES"/>
        </w:rPr>
        <w:t xml:space="preserve"> significa, con respecto a un determinado día, el nivel del EONIA con respecto a dicho día (o, si el mismo no es un Día Hábil TARGET2, con respecto al Día Hábil TARGET2 inmediatamente anterior).</w:t>
      </w:r>
    </w:p>
    <w:p w14:paraId="283A0BCF" w14:textId="1AFEEDCD" w:rsidR="00A008F9" w:rsidRPr="00C21353" w:rsidRDefault="004F480F" w:rsidP="00696130">
      <w:pPr>
        <w:pStyle w:val="Default"/>
        <w:spacing w:after="240"/>
        <w:ind w:left="709" w:hanging="709"/>
        <w:jc w:val="both"/>
        <w:rPr>
          <w:b/>
          <w:bCs/>
          <w:color w:val="auto"/>
        </w:rPr>
      </w:pPr>
      <w:r w:rsidRPr="00C21353">
        <w:rPr>
          <w:b/>
          <w:bCs/>
          <w:color w:val="auto"/>
        </w:rPr>
        <w:t>3</w:t>
      </w:r>
      <w:r w:rsidR="00A008F9" w:rsidRPr="00C21353">
        <w:rPr>
          <w:b/>
          <w:bCs/>
          <w:color w:val="auto"/>
        </w:rPr>
        <w:t>.</w:t>
      </w:r>
      <w:r w:rsidR="002222A7" w:rsidRPr="00C21353">
        <w:rPr>
          <w:b/>
          <w:bCs/>
          <w:color w:val="auto"/>
        </w:rPr>
        <w:t>2</w:t>
      </w:r>
      <w:r w:rsidR="00A008F9" w:rsidRPr="00C21353">
        <w:rPr>
          <w:b/>
          <w:bCs/>
          <w:color w:val="auto"/>
        </w:rPr>
        <w:tab/>
        <w:t>Medidas alternativas para un Supuesto de Cese del EONIA</w:t>
      </w:r>
      <w:r w:rsidR="00C71A2B" w:rsidRPr="00C21353">
        <w:rPr>
          <w:b/>
          <w:bCs/>
          <w:color w:val="auto"/>
        </w:rPr>
        <w:t xml:space="preserve"> (Tipo para Colateral)</w:t>
      </w:r>
    </w:p>
    <w:p w14:paraId="55E3C6A9" w14:textId="51DB60C7" w:rsidR="00A008F9" w:rsidRPr="00C21353" w:rsidRDefault="004F480F" w:rsidP="00696130">
      <w:pPr>
        <w:ind w:left="709" w:hanging="709"/>
        <w:rPr>
          <w:u w:val="single"/>
          <w:lang w:val="es-ES"/>
        </w:rPr>
      </w:pPr>
      <w:r w:rsidRPr="00C21353">
        <w:rPr>
          <w:lang w:val="es-ES"/>
        </w:rPr>
        <w:t>3</w:t>
      </w:r>
      <w:r w:rsidR="00A008F9" w:rsidRPr="00C21353">
        <w:rPr>
          <w:lang w:val="es-ES"/>
        </w:rPr>
        <w:t>.</w:t>
      </w:r>
      <w:r w:rsidR="002222A7" w:rsidRPr="00C21353">
        <w:rPr>
          <w:lang w:val="es-ES"/>
        </w:rPr>
        <w:t>2.</w:t>
      </w:r>
      <w:r w:rsidR="00A008F9" w:rsidRPr="00C21353">
        <w:rPr>
          <w:lang w:val="es-ES"/>
        </w:rPr>
        <w:t>1</w:t>
      </w:r>
      <w:r w:rsidR="00A008F9" w:rsidRPr="00C21353">
        <w:rPr>
          <w:lang w:val="es-ES"/>
        </w:rPr>
        <w:tab/>
        <w:t xml:space="preserve">En caso de que se produzca un Supuesto de Cese del EONIA, el tipo de interés para cada día a partir de la Fecha de Cese Efectivo del EONIA (incluida) se determinará como si las referencias al </w:t>
      </w:r>
      <w:r w:rsidR="00950671">
        <w:rPr>
          <w:lang w:val="es-ES"/>
        </w:rPr>
        <w:t>"</w:t>
      </w:r>
      <w:r w:rsidR="00A008F9" w:rsidRPr="00C21353">
        <w:rPr>
          <w:lang w:val="es-ES"/>
        </w:rPr>
        <w:t>EONIA (Tipo para Colateral)</w:t>
      </w:r>
      <w:r w:rsidR="00950671">
        <w:rPr>
          <w:lang w:val="es-ES"/>
        </w:rPr>
        <w:t>"</w:t>
      </w:r>
      <w:r w:rsidR="00A008F9" w:rsidRPr="00C21353">
        <w:rPr>
          <w:lang w:val="es-ES"/>
        </w:rPr>
        <w:t xml:space="preserve"> estuviesen hechas al EuroSTR Modificado</w:t>
      </w:r>
      <w:bookmarkStart w:id="3" w:name="_Hlk29060705"/>
      <w:r w:rsidR="00A008F9" w:rsidRPr="00C21353">
        <w:rPr>
          <w:lang w:val="es-ES"/>
        </w:rPr>
        <w:t>.</w:t>
      </w:r>
      <w:r w:rsidR="00A008F9" w:rsidRPr="00C21353">
        <w:rPr>
          <w:u w:val="single"/>
          <w:lang w:val="es-ES"/>
        </w:rPr>
        <w:t xml:space="preserve"> </w:t>
      </w:r>
    </w:p>
    <w:p w14:paraId="1E491FA8" w14:textId="600CB282" w:rsidR="00A008F9" w:rsidRPr="00C21353" w:rsidRDefault="00A008F9" w:rsidP="00696130">
      <w:pPr>
        <w:pStyle w:val="Default"/>
        <w:spacing w:after="240"/>
        <w:ind w:left="708"/>
        <w:jc w:val="both"/>
      </w:pPr>
      <w:r w:rsidRPr="00FA3E02">
        <w:t>"</w:t>
      </w:r>
      <w:r w:rsidRPr="00C21353">
        <w:rPr>
          <w:b/>
          <w:bCs/>
        </w:rPr>
        <w:t>EuroSTR Modificado</w:t>
      </w:r>
      <w:r w:rsidRPr="00C21353">
        <w:t xml:space="preserve">" significa, con respecto a un determinado día, el nivel del </w:t>
      </w:r>
      <w:r w:rsidR="00E36254">
        <w:t>Euro</w:t>
      </w:r>
      <w:r w:rsidRPr="00C21353">
        <w:t>STR publicado o proporcionado por el administrador del mismo con respecto a dicho día (o, si el mismo no es un Día Hábil TARGET2, con respecto al Día Hábil TARGET2 inmediatamente anterior) más un diferencial del 0,085%.</w:t>
      </w:r>
    </w:p>
    <w:bookmarkEnd w:id="3"/>
    <w:p w14:paraId="765036D6" w14:textId="30E7A64B" w:rsidR="00A008F9" w:rsidRPr="00C21353" w:rsidRDefault="004F480F" w:rsidP="00696130">
      <w:pPr>
        <w:pStyle w:val="Default"/>
        <w:spacing w:after="240"/>
        <w:ind w:left="709" w:hanging="709"/>
        <w:jc w:val="both"/>
        <w:rPr>
          <w:color w:val="auto"/>
        </w:rPr>
      </w:pPr>
      <w:r w:rsidRPr="00C21353">
        <w:rPr>
          <w:color w:val="auto"/>
        </w:rPr>
        <w:t>3</w:t>
      </w:r>
      <w:r w:rsidR="00A008F9" w:rsidRPr="00C21353">
        <w:rPr>
          <w:color w:val="auto"/>
        </w:rPr>
        <w:t>.2</w:t>
      </w:r>
      <w:r w:rsidR="002222A7" w:rsidRPr="00C21353">
        <w:rPr>
          <w:color w:val="auto"/>
        </w:rPr>
        <w:t>.2</w:t>
      </w:r>
      <w:r w:rsidR="00A008F9" w:rsidRPr="00C21353">
        <w:rPr>
          <w:color w:val="auto"/>
        </w:rPr>
        <w:tab/>
        <w:t xml:space="preserve">Si, tras la Fecha de Cese Efectivo del EONIA, se produjese un Supuesto de Cese del EuroSTR, el tipo de interés para cada día a partir de la Fecha de Cese Efectivo del EuroSTR (incluida) se determinará como si las referencias al </w:t>
      </w:r>
      <w:r w:rsidR="00950671">
        <w:t>"</w:t>
      </w:r>
      <w:r w:rsidR="00A008F9" w:rsidRPr="00C21353">
        <w:rPr>
          <w:color w:val="auto"/>
        </w:rPr>
        <w:t>EONIA (Tipo para Colateral)</w:t>
      </w:r>
      <w:r w:rsidR="00950671">
        <w:t>"</w:t>
      </w:r>
      <w:r w:rsidR="00A008F9" w:rsidRPr="00C21353">
        <w:rPr>
          <w:color w:val="auto"/>
        </w:rPr>
        <w:t xml:space="preserve"> estuviesen hechas al Tipo Recomendado BCE (EONIA).</w:t>
      </w:r>
    </w:p>
    <w:p w14:paraId="7E54A287" w14:textId="5A6939DD" w:rsidR="00A008F9" w:rsidRPr="00C21353" w:rsidRDefault="00A008F9" w:rsidP="00696130">
      <w:pPr>
        <w:pStyle w:val="Default"/>
        <w:spacing w:after="240"/>
        <w:ind w:left="708"/>
        <w:jc w:val="both"/>
        <w:rPr>
          <w:color w:val="auto"/>
        </w:rPr>
      </w:pPr>
      <w:r w:rsidRPr="00F63215">
        <w:rPr>
          <w:color w:val="auto"/>
        </w:rPr>
        <w:t>"</w:t>
      </w:r>
      <w:r w:rsidRPr="00C21353">
        <w:rPr>
          <w:b/>
          <w:bCs/>
          <w:color w:val="auto"/>
        </w:rPr>
        <w:t>Tipo Recomendado BCE (EONIA)</w:t>
      </w:r>
      <w:r w:rsidR="00C473CC" w:rsidRPr="00C21353">
        <w:rPr>
          <w:color w:val="auto"/>
        </w:rPr>
        <w:t>"</w:t>
      </w:r>
      <w:r w:rsidR="00C473CC">
        <w:rPr>
          <w:color w:val="auto"/>
        </w:rPr>
        <w:t xml:space="preserve"> </w:t>
      </w:r>
      <w:r w:rsidRPr="00C21353">
        <w:rPr>
          <w:color w:val="auto"/>
        </w:rPr>
        <w:t>significa, con respecto a un determinado día, el Tipo Recomendado BCE (EuroSTR) más un diferencial de 0,085%.</w:t>
      </w:r>
    </w:p>
    <w:p w14:paraId="0FEC1FBD" w14:textId="30F475A1" w:rsidR="00A008F9" w:rsidRPr="00C21353" w:rsidRDefault="004F480F" w:rsidP="00696130">
      <w:pPr>
        <w:pStyle w:val="Default"/>
        <w:spacing w:after="240"/>
        <w:jc w:val="both"/>
        <w:rPr>
          <w:color w:val="000000" w:themeColor="text1"/>
        </w:rPr>
      </w:pPr>
      <w:r w:rsidRPr="00C21353">
        <w:rPr>
          <w:color w:val="000000" w:themeColor="text1"/>
        </w:rPr>
        <w:t>3</w:t>
      </w:r>
      <w:r w:rsidR="00A008F9" w:rsidRPr="00C21353">
        <w:rPr>
          <w:color w:val="000000" w:themeColor="text1"/>
        </w:rPr>
        <w:t>.</w:t>
      </w:r>
      <w:r w:rsidR="002222A7" w:rsidRPr="00C21353">
        <w:rPr>
          <w:color w:val="000000" w:themeColor="text1"/>
        </w:rPr>
        <w:t>2.</w:t>
      </w:r>
      <w:r w:rsidR="00A008F9" w:rsidRPr="00C21353">
        <w:rPr>
          <w:color w:val="000000" w:themeColor="text1"/>
        </w:rPr>
        <w:t>3</w:t>
      </w:r>
      <w:r w:rsidR="00A008F9" w:rsidRPr="00C21353">
        <w:rPr>
          <w:color w:val="000000" w:themeColor="text1"/>
        </w:rPr>
        <w:tab/>
        <w:t>En el caso de que:</w:t>
      </w:r>
    </w:p>
    <w:p w14:paraId="708A5186" w14:textId="456C7FBD" w:rsidR="00A008F9" w:rsidRPr="00C21353" w:rsidRDefault="00A008F9" w:rsidP="00696130">
      <w:pPr>
        <w:pStyle w:val="Default"/>
        <w:spacing w:after="240"/>
        <w:ind w:left="1428" w:hanging="720"/>
        <w:jc w:val="both"/>
        <w:rPr>
          <w:color w:val="000000" w:themeColor="text1"/>
        </w:rPr>
      </w:pPr>
      <w:r w:rsidRPr="00C21353">
        <w:rPr>
          <w:color w:val="000000" w:themeColor="text1"/>
        </w:rPr>
        <w:lastRenderedPageBreak/>
        <w:t xml:space="preserve">(a) </w:t>
      </w:r>
      <w:r w:rsidRPr="00C21353">
        <w:rPr>
          <w:color w:val="000000" w:themeColor="text1"/>
        </w:rPr>
        <w:tab/>
        <w:t>no existiese ningún tipo recomendado a la finalización del primer Día Hábil TARGET2 posterior al día en el que se hubiese producido un Supuesto de Cese del EuroSTR, entonces el tipo para cada día a partir de la Fecha de Cese Efectivo del EuroSTR</w:t>
      </w:r>
      <w:r w:rsidR="00C104AC" w:rsidRPr="00C21353">
        <w:rPr>
          <w:color w:val="000000" w:themeColor="text1"/>
        </w:rPr>
        <w:t xml:space="preserve"> </w:t>
      </w:r>
      <w:r w:rsidRPr="00C21353">
        <w:rPr>
          <w:color w:val="000000" w:themeColor="text1"/>
        </w:rPr>
        <w:t xml:space="preserve">(incluida) se determinará como si las referencias al </w:t>
      </w:r>
      <w:r w:rsidR="00950671">
        <w:t>"</w:t>
      </w:r>
      <w:r w:rsidRPr="00C21353">
        <w:rPr>
          <w:color w:val="000000" w:themeColor="text1"/>
        </w:rPr>
        <w:t>EONIA (Tipo para Colateral)</w:t>
      </w:r>
      <w:r w:rsidR="00950671">
        <w:t>"</w:t>
      </w:r>
      <w:r w:rsidRPr="00C21353">
        <w:rPr>
          <w:color w:val="000000" w:themeColor="text1"/>
        </w:rPr>
        <w:t xml:space="preserve"> estuviesen hechas al EDFR Modificado (EONIA); o</w:t>
      </w:r>
    </w:p>
    <w:p w14:paraId="056686E8" w14:textId="1413873F" w:rsidR="00A008F9" w:rsidRPr="00C21353" w:rsidRDefault="00A008F9" w:rsidP="00696130">
      <w:pPr>
        <w:pStyle w:val="Default"/>
        <w:spacing w:after="240"/>
        <w:ind w:left="1428" w:hanging="720"/>
        <w:jc w:val="both"/>
        <w:rPr>
          <w:color w:val="auto"/>
        </w:rPr>
      </w:pPr>
      <w:r w:rsidRPr="00C21353">
        <w:rPr>
          <w:color w:val="auto"/>
        </w:rPr>
        <w:t xml:space="preserve">(b) </w:t>
      </w:r>
      <w:r w:rsidRPr="00C21353">
        <w:rPr>
          <w:color w:val="auto"/>
        </w:rPr>
        <w:tab/>
        <w:t xml:space="preserve">si se produjera con posterioridad un Supuesto de Cese del Tipo Recomendado BCE (EONIA), entonces el tipo para cada día a partir de la Fecha de Cese Efectivo del Tipo Recomendado BCE (EONIA), se determinará como si las referencias al </w:t>
      </w:r>
      <w:r w:rsidR="00950671">
        <w:t>"</w:t>
      </w:r>
      <w:r w:rsidRPr="00C21353">
        <w:rPr>
          <w:color w:val="auto"/>
        </w:rPr>
        <w:t>EONIA (Tipo para Colateral)</w:t>
      </w:r>
      <w:r w:rsidR="00950671">
        <w:t>"</w:t>
      </w:r>
      <w:r w:rsidRPr="00C21353">
        <w:rPr>
          <w:color w:val="auto"/>
        </w:rPr>
        <w:t xml:space="preserve"> estuviesen hechas al EDFR Modificado (EONIA).</w:t>
      </w:r>
    </w:p>
    <w:p w14:paraId="49522442" w14:textId="6229031C" w:rsidR="00A008F9" w:rsidRPr="00C21353" w:rsidRDefault="00A008F9" w:rsidP="00696130">
      <w:pPr>
        <w:ind w:left="708"/>
        <w:rPr>
          <w:lang w:val="es-ES"/>
        </w:rPr>
      </w:pPr>
      <w:r w:rsidRPr="00F63215">
        <w:rPr>
          <w:lang w:val="es-ES"/>
        </w:rPr>
        <w:t>"</w:t>
      </w:r>
      <w:r w:rsidRPr="00C21353">
        <w:rPr>
          <w:b/>
          <w:bCs/>
          <w:lang w:val="es-ES"/>
        </w:rPr>
        <w:t>EDFR Modificado (EONIA)</w:t>
      </w:r>
      <w:r w:rsidRPr="00F63215">
        <w:rPr>
          <w:lang w:val="es-ES"/>
        </w:rPr>
        <w:t>"</w:t>
      </w:r>
      <w:r w:rsidRPr="00C21353">
        <w:rPr>
          <w:lang w:val="es-ES"/>
        </w:rPr>
        <w:t xml:space="preserve"> significa, con respecto a un determinado día, el nivel del Tipo de Depósito del Eurosistema, publicado o proporcionado por el administrador del mismo con respecto a dicho día (o, si el mismo no es un Día Hábil TARGET2, al Día Hábil TARGET2 inmediatamente anterior) más la suma del Diferencial EDFR y un diferencial de 0,085%.</w:t>
      </w:r>
    </w:p>
    <w:p w14:paraId="2CFA0F35" w14:textId="5D715286" w:rsidR="005F10F2" w:rsidRPr="00C21353" w:rsidRDefault="005F10F2" w:rsidP="00696130">
      <w:pPr>
        <w:rPr>
          <w:b/>
          <w:bCs/>
          <w:lang w:val="es-ES"/>
        </w:rPr>
      </w:pPr>
      <w:r w:rsidRPr="00C21353">
        <w:rPr>
          <w:b/>
          <w:bCs/>
          <w:lang w:val="es-ES"/>
        </w:rPr>
        <w:t>4.</w:t>
      </w:r>
      <w:r w:rsidRPr="00C21353">
        <w:rPr>
          <w:b/>
          <w:bCs/>
          <w:lang w:val="es-ES"/>
        </w:rPr>
        <w:tab/>
        <w:t>OTRAS DISPOSICIONES</w:t>
      </w:r>
    </w:p>
    <w:p w14:paraId="24A0FC87" w14:textId="5BE3882E" w:rsidR="005F10F2" w:rsidRPr="00C21353" w:rsidRDefault="005F10F2" w:rsidP="00696130">
      <w:pPr>
        <w:rPr>
          <w:b/>
          <w:bCs/>
          <w:lang w:val="es-ES"/>
        </w:rPr>
      </w:pPr>
      <w:r w:rsidRPr="00C21353">
        <w:rPr>
          <w:b/>
          <w:bCs/>
          <w:lang w:val="es-ES"/>
        </w:rPr>
        <w:t>4.1</w:t>
      </w:r>
      <w:r w:rsidRPr="00C21353">
        <w:rPr>
          <w:b/>
          <w:bCs/>
          <w:lang w:val="es-ES"/>
        </w:rPr>
        <w:tab/>
        <w:t xml:space="preserve">Modificación de un Índice de Tipos de Interés </w:t>
      </w:r>
    </w:p>
    <w:p w14:paraId="4F049F3C" w14:textId="77777777" w:rsidR="005F10F2" w:rsidRPr="00C21353" w:rsidRDefault="005F10F2" w:rsidP="00696130">
      <w:pPr>
        <w:ind w:left="720"/>
        <w:rPr>
          <w:w w:val="105"/>
          <w:lang w:val="es-ES"/>
        </w:rPr>
      </w:pPr>
      <w:r w:rsidRPr="00C21353">
        <w:rPr>
          <w:w w:val="105"/>
          <w:lang w:val="es-ES"/>
        </w:rPr>
        <w:t>En el caso de que se modificara la definición, los parámetros de publicación (incluyendo el medio, la periodicidad y la hora de la misma), la metodología o la fórmula de cálculo de un Índice de Tipos de Interés, todas las referencias al mismo se entenderán hechas a dicho Índice de Tipos de Interés tal y como el mismo haya sido modificado.</w:t>
      </w:r>
    </w:p>
    <w:p w14:paraId="7F5D929D" w14:textId="2B1B9410" w:rsidR="005F10F2" w:rsidRPr="00C21353" w:rsidRDefault="005F10F2" w:rsidP="00696130">
      <w:pPr>
        <w:rPr>
          <w:b/>
          <w:bCs/>
          <w:lang w:val="es-ES"/>
        </w:rPr>
      </w:pPr>
      <w:r w:rsidRPr="00C21353">
        <w:rPr>
          <w:b/>
          <w:bCs/>
          <w:lang w:val="es-ES"/>
        </w:rPr>
        <w:t>4.2</w:t>
      </w:r>
      <w:r w:rsidRPr="00C21353">
        <w:rPr>
          <w:b/>
          <w:bCs/>
          <w:lang w:val="es-ES"/>
        </w:rPr>
        <w:tab/>
        <w:t>Corrección del nivel de un Índice de Tipos de Interés</w:t>
      </w:r>
    </w:p>
    <w:p w14:paraId="5730D8E5" w14:textId="3C77DD4B" w:rsidR="002222A7" w:rsidRPr="00C21353" w:rsidRDefault="005F10F2" w:rsidP="00696130">
      <w:pPr>
        <w:ind w:left="720"/>
        <w:rPr>
          <w:b/>
          <w:bCs/>
          <w:lang w:val="es-ES"/>
        </w:rPr>
      </w:pPr>
      <w:r w:rsidRPr="00C21353">
        <w:rPr>
          <w:lang w:val="es-ES"/>
        </w:rPr>
        <w:t>En el caso de que en un mismo Día Hábil TARGET2 el BCE hiciera una nueva publicación de un Índice de Tipos de Interés para corregir un error de la publicación anterior, se tomará el nuevo Índice de Tipos de Interés publicado.</w:t>
      </w:r>
    </w:p>
    <w:sectPr w:rsidR="002222A7" w:rsidRPr="00C21353" w:rsidSect="00DE4D2D">
      <w:footerReference w:type="default" r:id="rId7"/>
      <w:footerReference w:type="first" r:id="rId8"/>
      <w:pgSz w:w="11906" w:h="16838" w:code="9"/>
      <w:pgMar w:top="1440" w:right="1440" w:bottom="1440" w:left="1440" w:header="72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E9674" w14:textId="77777777" w:rsidR="00080DD1" w:rsidRDefault="00080DD1" w:rsidP="00E40302">
      <w:pPr>
        <w:spacing w:after="0"/>
      </w:pPr>
      <w:r>
        <w:separator/>
      </w:r>
    </w:p>
  </w:endnote>
  <w:endnote w:type="continuationSeparator" w:id="0">
    <w:p w14:paraId="78BBB89A" w14:textId="77777777" w:rsidR="00080DD1" w:rsidRDefault="00080DD1" w:rsidP="00E403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080"/>
      <w:gridCol w:w="3081"/>
      <w:gridCol w:w="3081"/>
    </w:tblGrid>
    <w:tr w:rsidR="00DE4D2D" w14:paraId="0F510ED2" w14:textId="77777777" w:rsidTr="00DE4D2D">
      <w:tc>
        <w:tcPr>
          <w:tcW w:w="3080" w:type="dxa"/>
        </w:tcPr>
        <w:p w14:paraId="6433C926" w14:textId="44220B4F" w:rsidR="00DE4D2D" w:rsidRDefault="005719F8" w:rsidP="00DE4D2D">
          <w:pPr>
            <w:pStyle w:val="Piedepgina"/>
          </w:pPr>
          <w:r>
            <w:rPr>
              <w:noProof/>
              <w:lang w:bidi="ar-SA"/>
            </w:rPr>
            <mc:AlternateContent>
              <mc:Choice Requires="wps">
                <w:drawing>
                  <wp:anchor distT="0" distB="0" distL="114300" distR="114300" simplePos="0" relativeHeight="251663360" behindDoc="1" locked="0" layoutInCell="1" allowOverlap="1" wp14:anchorId="6918B8AD" wp14:editId="7471C306">
                    <wp:simplePos x="0" y="0"/>
                    <wp:positionH relativeFrom="page">
                      <wp:posOffset>68580</wp:posOffset>
                    </wp:positionH>
                    <wp:positionV relativeFrom="page">
                      <wp:posOffset>3810</wp:posOffset>
                    </wp:positionV>
                    <wp:extent cx="1640205" cy="18097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D2767" w14:textId="24E09C01" w:rsidR="005719F8" w:rsidRDefault="005719F8" w:rsidP="005719F8">
                                <w:pPr>
                                  <w:spacing w:before="11"/>
                                  <w:ind w:left="20"/>
                                  <w:rPr>
                                    <w:sz w:val="20"/>
                                  </w:rPr>
                                </w:pPr>
                                <w:r>
                                  <w:t xml:space="preserve">© </w:t>
                                </w:r>
                                <w:r>
                                  <w:rPr>
                                    <w:sz w:val="20"/>
                                  </w:rPr>
                                  <w:t>AEB – CECA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8B8AD" id="_x0000_t202" coordsize="21600,21600" o:spt="202" path="m,l,21600r21600,l21600,xe">
                    <v:stroke joinstyle="miter"/>
                    <v:path gradientshapeok="t" o:connecttype="rect"/>
                  </v:shapetype>
                  <v:shape id="Text Box 1" o:spid="_x0000_s1026" type="#_x0000_t202" style="position:absolute;margin-left:5.4pt;margin-top:.3pt;width:129.15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" filled="f" stroked="f">
                    <v:textbox inset="0,0,0,0">
                      <w:txbxContent>
                        <w:p w14:paraId="172D2767" w14:textId="24E09C01" w:rsidR="005719F8" w:rsidRDefault="005719F8" w:rsidP="005719F8">
                          <w:pPr>
                            <w:spacing w:before="11"/>
                            <w:ind w:left="20"/>
                            <w:rPr>
                              <w:sz w:val="20"/>
                            </w:rPr>
                          </w:pPr>
                          <w:r>
                            <w:t xml:space="preserve">© </w:t>
                          </w:r>
                          <w:r>
                            <w:rPr>
                              <w:sz w:val="20"/>
                            </w:rPr>
                            <w:t>AEB – CECA</w:t>
                          </w:r>
                        </w:p>
                      </w:txbxContent>
                    </v:textbox>
                    <w10:wrap anchorx="page" anchory="page"/>
                  </v:shape>
                </w:pict>
              </mc:Fallback>
            </mc:AlternateContent>
          </w:r>
        </w:p>
      </w:tc>
      <w:tc>
        <w:tcPr>
          <w:tcW w:w="3081" w:type="dxa"/>
        </w:tcPr>
        <w:p w14:paraId="31B897EA" w14:textId="77777777" w:rsidR="00DE4D2D" w:rsidRPr="00882427" w:rsidRDefault="00DE4D2D" w:rsidP="00DE4D2D">
          <w:pPr>
            <w:pStyle w:val="Piedepgina"/>
            <w:jc w:val="center"/>
            <w:rPr>
              <w:rStyle w:val="Nmerodepgina"/>
            </w:rPr>
          </w:pPr>
          <w:r>
            <w:rPr>
              <w:rStyle w:val="Nmerodepgina"/>
            </w:rPr>
            <w:t xml:space="preserve">- </w:t>
          </w:r>
          <w:r>
            <w:rPr>
              <w:rStyle w:val="Nmerodepgina"/>
            </w:rPr>
            <w:fldChar w:fldCharType="begin"/>
          </w:r>
          <w:r>
            <w:rPr>
              <w:rStyle w:val="Nmerodepgina"/>
            </w:rPr>
            <w:instrText xml:space="preserve"> PAGE  \* MERGEFORMAT </w:instrText>
          </w:r>
          <w:r>
            <w:rPr>
              <w:rStyle w:val="Nmerodepgina"/>
            </w:rPr>
            <w:fldChar w:fldCharType="separate"/>
          </w:r>
          <w:r>
            <w:rPr>
              <w:rStyle w:val="Nmerodepgina"/>
              <w:noProof/>
            </w:rPr>
            <w:t>2</w:t>
          </w:r>
          <w:r>
            <w:rPr>
              <w:rStyle w:val="Nmerodepgina"/>
            </w:rPr>
            <w:fldChar w:fldCharType="end"/>
          </w:r>
          <w:r>
            <w:rPr>
              <w:rStyle w:val="Nmerodepgina"/>
            </w:rPr>
            <w:t xml:space="preserve"> -</w:t>
          </w:r>
        </w:p>
      </w:tc>
      <w:tc>
        <w:tcPr>
          <w:tcW w:w="3081" w:type="dxa"/>
        </w:tcPr>
        <w:p w14:paraId="11A8AF12" w14:textId="5BE7BDE9" w:rsidR="00DE4D2D" w:rsidRDefault="00DE4D2D" w:rsidP="00DE4D2D">
          <w:pPr>
            <w:pStyle w:val="FooterRight"/>
          </w:pPr>
        </w:p>
      </w:tc>
    </w:tr>
  </w:tbl>
  <w:p w14:paraId="33B25A7E" w14:textId="77777777" w:rsidR="00DE4D2D" w:rsidRPr="00FF592B" w:rsidRDefault="00DE4D2D" w:rsidP="00DE4D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080"/>
      <w:gridCol w:w="3081"/>
      <w:gridCol w:w="3081"/>
    </w:tblGrid>
    <w:tr w:rsidR="00DE4D2D" w14:paraId="220FF72F" w14:textId="77777777" w:rsidTr="00DE4D2D">
      <w:tc>
        <w:tcPr>
          <w:tcW w:w="3080" w:type="dxa"/>
        </w:tcPr>
        <w:p w14:paraId="13277B7C" w14:textId="2F67C2C8" w:rsidR="00DE4D2D" w:rsidRDefault="005719F8" w:rsidP="00DE4D2D">
          <w:pPr>
            <w:pStyle w:val="Piedepgina"/>
          </w:pPr>
          <w:r>
            <w:rPr>
              <w:noProof/>
              <w:lang w:bidi="ar-SA"/>
            </w:rPr>
            <mc:AlternateContent>
              <mc:Choice Requires="wps">
                <w:drawing>
                  <wp:anchor distT="0" distB="0" distL="114300" distR="114300" simplePos="0" relativeHeight="251661312" behindDoc="1" locked="0" layoutInCell="1" allowOverlap="1" wp14:anchorId="3AA84048" wp14:editId="63B6EAE3">
                    <wp:simplePos x="0" y="0"/>
                    <wp:positionH relativeFrom="page">
                      <wp:posOffset>68580</wp:posOffset>
                    </wp:positionH>
                    <wp:positionV relativeFrom="page">
                      <wp:posOffset>3810</wp:posOffset>
                    </wp:positionV>
                    <wp:extent cx="1640205" cy="1809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1293C" w14:textId="1452CB2F" w:rsidR="005719F8" w:rsidRDefault="005719F8" w:rsidP="005719F8">
                                <w:pPr>
                                  <w:spacing w:before="11"/>
                                  <w:ind w:left="20"/>
                                  <w:rPr>
                                    <w:sz w:val="20"/>
                                  </w:rPr>
                                </w:pPr>
                                <w:r>
                                  <w:t xml:space="preserve">© </w:t>
                                </w:r>
                                <w:r>
                                  <w:rPr>
                                    <w:sz w:val="20"/>
                                  </w:rPr>
                                  <w:t>AEB – CECA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84048" id="_x0000_t202" coordsize="21600,21600" o:spt="202" path="m,l,21600r21600,l21600,xe">
                    <v:stroke joinstyle="miter"/>
                    <v:path gradientshapeok="t" o:connecttype="rect"/>
                  </v:shapetype>
                  <v:shape id="_x0000_s1027" type="#_x0000_t202" style="position:absolute;margin-left:5.4pt;margin-top:.3pt;width:129.15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" filled="f" stroked="f">
                    <v:textbox inset="0,0,0,0">
                      <w:txbxContent>
                        <w:p w14:paraId="6A11293C" w14:textId="1452CB2F" w:rsidR="005719F8" w:rsidRDefault="005719F8" w:rsidP="005719F8">
                          <w:pPr>
                            <w:spacing w:before="11"/>
                            <w:ind w:left="20"/>
                            <w:rPr>
                              <w:sz w:val="20"/>
                            </w:rPr>
                          </w:pPr>
                          <w:r>
                            <w:t xml:space="preserve">© </w:t>
                          </w:r>
                          <w:r>
                            <w:rPr>
                              <w:sz w:val="20"/>
                            </w:rPr>
                            <w:t>AEB – CECA</w:t>
                          </w:r>
                        </w:p>
                      </w:txbxContent>
                    </v:textbox>
                    <w10:wrap anchorx="page" anchory="page"/>
                  </v:shape>
                </w:pict>
              </mc:Fallback>
            </mc:AlternateContent>
          </w:r>
        </w:p>
      </w:tc>
      <w:tc>
        <w:tcPr>
          <w:tcW w:w="3081" w:type="dxa"/>
        </w:tcPr>
        <w:p w14:paraId="6CB90695" w14:textId="77777777" w:rsidR="00DE4D2D" w:rsidRPr="001D1C24" w:rsidRDefault="00DE4D2D" w:rsidP="00DE4D2D">
          <w:pPr>
            <w:pStyle w:val="Piedepgina"/>
            <w:jc w:val="center"/>
            <w:rPr>
              <w:rStyle w:val="Nmerodepgina"/>
              <w:rFonts w:ascii="Cambria" w:hAnsi="Cambria"/>
              <w:sz w:val="22"/>
              <w:szCs w:val="22"/>
            </w:rPr>
          </w:pPr>
          <w:r w:rsidRPr="001D1C24">
            <w:rPr>
              <w:rStyle w:val="Nmerodepgina"/>
              <w:rFonts w:ascii="Cambria" w:hAnsi="Cambria"/>
              <w:sz w:val="22"/>
              <w:szCs w:val="22"/>
            </w:rPr>
            <w:t xml:space="preserve">- </w:t>
          </w:r>
          <w:r w:rsidRPr="001D1C24">
            <w:rPr>
              <w:rStyle w:val="Nmerodepgina"/>
              <w:rFonts w:ascii="Cambria" w:hAnsi="Cambria"/>
              <w:sz w:val="22"/>
              <w:szCs w:val="22"/>
            </w:rPr>
            <w:fldChar w:fldCharType="begin"/>
          </w:r>
          <w:r w:rsidRPr="001D1C24">
            <w:rPr>
              <w:rStyle w:val="Nmerodepgina"/>
              <w:rFonts w:ascii="Cambria" w:hAnsi="Cambria"/>
              <w:sz w:val="22"/>
              <w:szCs w:val="22"/>
            </w:rPr>
            <w:instrText xml:space="preserve"> PAGE  \* MERGEFORMAT </w:instrText>
          </w:r>
          <w:r w:rsidRPr="001D1C24">
            <w:rPr>
              <w:rStyle w:val="Nmerodepgina"/>
              <w:rFonts w:ascii="Cambria" w:hAnsi="Cambria"/>
              <w:sz w:val="22"/>
              <w:szCs w:val="22"/>
            </w:rPr>
            <w:fldChar w:fldCharType="separate"/>
          </w:r>
          <w:r w:rsidRPr="001D1C24">
            <w:rPr>
              <w:rStyle w:val="Nmerodepgina"/>
              <w:rFonts w:ascii="Cambria" w:hAnsi="Cambria"/>
              <w:noProof/>
              <w:sz w:val="22"/>
              <w:szCs w:val="22"/>
            </w:rPr>
            <w:t>1</w:t>
          </w:r>
          <w:r w:rsidRPr="001D1C24">
            <w:rPr>
              <w:rStyle w:val="Nmerodepgina"/>
              <w:rFonts w:ascii="Cambria" w:hAnsi="Cambria"/>
              <w:sz w:val="22"/>
              <w:szCs w:val="22"/>
            </w:rPr>
            <w:fldChar w:fldCharType="end"/>
          </w:r>
          <w:r w:rsidRPr="001D1C24">
            <w:rPr>
              <w:rStyle w:val="Nmerodepgina"/>
              <w:rFonts w:ascii="Cambria" w:hAnsi="Cambria"/>
              <w:sz w:val="22"/>
              <w:szCs w:val="22"/>
            </w:rPr>
            <w:t xml:space="preserve"> -</w:t>
          </w:r>
        </w:p>
      </w:tc>
      <w:tc>
        <w:tcPr>
          <w:tcW w:w="3081" w:type="dxa"/>
        </w:tcPr>
        <w:p w14:paraId="113E675C" w14:textId="12BB0D69" w:rsidR="00DE4D2D" w:rsidRDefault="00DE4D2D" w:rsidP="00DE4D2D">
          <w:pPr>
            <w:pStyle w:val="FooterRight"/>
          </w:pPr>
        </w:p>
      </w:tc>
    </w:tr>
  </w:tbl>
  <w:p w14:paraId="598A99D8" w14:textId="77777777" w:rsidR="00DE4D2D" w:rsidRPr="00FF592B" w:rsidRDefault="00DE4D2D" w:rsidP="00DE4D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A6F30" w14:textId="77777777" w:rsidR="00080DD1" w:rsidRDefault="00080DD1" w:rsidP="00E40302">
      <w:pPr>
        <w:spacing w:after="0"/>
      </w:pPr>
      <w:r>
        <w:separator/>
      </w:r>
    </w:p>
  </w:footnote>
  <w:footnote w:type="continuationSeparator" w:id="0">
    <w:p w14:paraId="7FDCBFC9" w14:textId="77777777" w:rsidR="00080DD1" w:rsidRDefault="00080DD1" w:rsidP="00E40302">
      <w:pPr>
        <w:spacing w:after="0"/>
      </w:pPr>
      <w:r>
        <w:continuationSeparator/>
      </w:r>
    </w:p>
  </w:footnote>
  <w:footnote w:id="1">
    <w:p w14:paraId="0A07ED98" w14:textId="1D6E4BA4" w:rsidR="0061697D" w:rsidRPr="0061697D" w:rsidRDefault="0061697D">
      <w:pPr>
        <w:pStyle w:val="Textonotapie"/>
        <w:rPr>
          <w:lang w:val="es-ES"/>
        </w:rPr>
      </w:pPr>
      <w:r>
        <w:rPr>
          <w:rStyle w:val="Refdenotaalpie"/>
        </w:rPr>
        <w:footnoteRef/>
      </w:r>
      <w:r w:rsidRPr="0061697D">
        <w:rPr>
          <w:lang w:val="es-ES"/>
        </w:rPr>
        <w:t xml:space="preserve"> </w:t>
      </w:r>
      <w:r>
        <w:rPr>
          <w:lang w:val="es-ES"/>
        </w:rPr>
        <w:tab/>
      </w:r>
      <w:r w:rsidR="00EB1448">
        <w:rPr>
          <w:lang w:val="es-ES"/>
        </w:rPr>
        <w:t xml:space="preserve">A elección de las Partes. </w:t>
      </w:r>
      <w:r w:rsidR="00624493">
        <w:rPr>
          <w:lang w:val="es-ES"/>
        </w:rPr>
        <w:t>Si las Partes tienen celebrados entre sí más de un CMOF y desean efectuar elecciones diferentes para cada uno de ellos, pueden bien acudir a la celebración de una Novación respecto de cada CMOF o bien "desdoblar" el Acuerdo II y efectuar una elección diferente en el seno de la misma Novación.</w:t>
      </w:r>
    </w:p>
  </w:footnote>
  <w:footnote w:id="2">
    <w:p w14:paraId="1044C510" w14:textId="4AD1D24C" w:rsidR="0061697D" w:rsidRPr="0061697D" w:rsidRDefault="0061697D">
      <w:pPr>
        <w:pStyle w:val="Textonotapie"/>
        <w:rPr>
          <w:lang w:val="es-ES"/>
        </w:rPr>
      </w:pPr>
      <w:r>
        <w:rPr>
          <w:rStyle w:val="Refdenotaalpie"/>
        </w:rPr>
        <w:footnoteRef/>
      </w:r>
      <w:r w:rsidRPr="0061697D">
        <w:rPr>
          <w:lang w:val="es-ES"/>
        </w:rPr>
        <w:t xml:space="preserve"> </w:t>
      </w:r>
      <w:r>
        <w:rPr>
          <w:lang w:val="es-ES"/>
        </w:rPr>
        <w:tab/>
        <w:t>A elección de las Partes.</w:t>
      </w:r>
    </w:p>
  </w:footnote>
  <w:footnote w:id="3">
    <w:p w14:paraId="52EC6BDE" w14:textId="4B17CEAC" w:rsidR="00BF65BC" w:rsidRPr="00BF65BC" w:rsidRDefault="00BF65BC">
      <w:pPr>
        <w:pStyle w:val="Textonotapie"/>
        <w:rPr>
          <w:lang w:val="es-ES"/>
        </w:rPr>
      </w:pPr>
      <w:r>
        <w:rPr>
          <w:rStyle w:val="Refdenotaalpie"/>
        </w:rPr>
        <w:footnoteRef/>
      </w:r>
      <w:r w:rsidRPr="00BF65BC">
        <w:rPr>
          <w:lang w:val="es-ES"/>
        </w:rPr>
        <w:t xml:space="preserve"> </w:t>
      </w:r>
      <w:r>
        <w:rPr>
          <w:lang w:val="es-ES"/>
        </w:rPr>
        <w:tab/>
        <w:t>A elección de las Partes.</w:t>
      </w:r>
      <w:r w:rsidR="00624493">
        <w:rPr>
          <w:lang w:val="es-ES"/>
        </w:rPr>
        <w:t>.</w:t>
      </w:r>
    </w:p>
  </w:footnote>
  <w:footnote w:id="4">
    <w:p w14:paraId="5317BE1E" w14:textId="193127A3" w:rsidR="0061697D" w:rsidRPr="0061697D" w:rsidRDefault="0061697D">
      <w:pPr>
        <w:pStyle w:val="Textonotapie"/>
        <w:rPr>
          <w:lang w:val="es-ES"/>
        </w:rPr>
      </w:pPr>
      <w:r>
        <w:rPr>
          <w:rStyle w:val="Refdenotaalpie"/>
        </w:rPr>
        <w:footnoteRef/>
      </w:r>
      <w:r w:rsidRPr="0061697D">
        <w:rPr>
          <w:lang w:val="es-ES"/>
        </w:rPr>
        <w:t xml:space="preserve"> </w:t>
      </w:r>
      <w:r>
        <w:rPr>
          <w:lang w:val="es-ES"/>
        </w:rPr>
        <w:tab/>
        <w:t>A</w:t>
      </w:r>
      <w:r w:rsidR="00EB1448">
        <w:rPr>
          <w:lang w:val="es-ES"/>
        </w:rPr>
        <w:t xml:space="preserve"> elección de las Partes en función de la definición de Fecha Relevante elegida.</w:t>
      </w:r>
    </w:p>
  </w:footnote>
  <w:footnote w:id="5">
    <w:p w14:paraId="17FF3E11" w14:textId="6E1B705A" w:rsidR="00866F3D" w:rsidRPr="004A6EA4" w:rsidRDefault="00866F3D" w:rsidP="00866F3D">
      <w:pPr>
        <w:pStyle w:val="Textonotapie"/>
        <w:rPr>
          <w:lang w:val="es-ES"/>
        </w:rPr>
      </w:pPr>
      <w:r>
        <w:rPr>
          <w:rStyle w:val="Refdenotaalpie"/>
        </w:rPr>
        <w:footnoteRef/>
      </w:r>
      <w:r w:rsidRPr="004A6EA4">
        <w:rPr>
          <w:lang w:val="es-ES"/>
        </w:rPr>
        <w:t xml:space="preserve"> </w:t>
      </w:r>
      <w:r>
        <w:rPr>
          <w:lang w:val="es-ES"/>
        </w:rPr>
        <w:tab/>
      </w:r>
      <w:r w:rsidRPr="00624493">
        <w:rPr>
          <w:lang w:val="es-ES"/>
        </w:rPr>
        <w:t xml:space="preserve">Este apartado </w:t>
      </w:r>
      <w:r w:rsidR="00624493">
        <w:rPr>
          <w:lang w:val="es-ES"/>
        </w:rPr>
        <w:t>no</w:t>
      </w:r>
      <w:r w:rsidRPr="00624493">
        <w:rPr>
          <w:lang w:val="es-ES"/>
        </w:rPr>
        <w:t xml:space="preserve"> será de aplicación cuando se haya acordado la sustitución a </w:t>
      </w:r>
      <w:r w:rsidR="00624493">
        <w:rPr>
          <w:lang w:val="es-ES"/>
        </w:rPr>
        <w:t>EONIA</w:t>
      </w:r>
      <w:r w:rsidRPr="00624493">
        <w:rPr>
          <w:lang w:val="es-ES"/>
        </w:rPr>
        <w:t xml:space="preserve"> (Tipo para Colateral).</w:t>
      </w:r>
      <w:r>
        <w:rPr>
          <w:lang w:val="es-ES"/>
        </w:rPr>
        <w:t xml:space="preserve">  </w:t>
      </w:r>
    </w:p>
  </w:footnote>
  <w:footnote w:id="6">
    <w:p w14:paraId="4859F62E" w14:textId="1256CAC6" w:rsidR="00866F3D" w:rsidRPr="00B4325A" w:rsidRDefault="00866F3D" w:rsidP="00866F3D">
      <w:pPr>
        <w:pStyle w:val="Textonotapie"/>
        <w:rPr>
          <w:lang w:val="es-ES"/>
        </w:rPr>
      </w:pPr>
      <w:r>
        <w:rPr>
          <w:rStyle w:val="Refdenotaalpie"/>
        </w:rPr>
        <w:footnoteRef/>
      </w:r>
      <w:r w:rsidRPr="001C4C48">
        <w:rPr>
          <w:lang w:val="es-ES"/>
        </w:rPr>
        <w:tab/>
      </w:r>
      <w:r w:rsidR="00EB1448">
        <w:rPr>
          <w:lang w:val="es-ES"/>
        </w:rPr>
        <w:t xml:space="preserve">A elección de las </w:t>
      </w:r>
      <w:r>
        <w:rPr>
          <w:lang w:val="es-ES"/>
        </w:rPr>
        <w:t>P</w:t>
      </w:r>
      <w:r w:rsidRPr="00B4325A">
        <w:rPr>
          <w:lang w:val="es-ES"/>
        </w:rPr>
        <w:t>artes</w:t>
      </w:r>
      <w:r w:rsidR="00EB1448">
        <w:rPr>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C3498"/>
    <w:multiLevelType w:val="multilevel"/>
    <w:tmpl w:val="F3B067A4"/>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E1F1A90"/>
    <w:multiLevelType w:val="multilevel"/>
    <w:tmpl w:val="F3B067A4"/>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6031E7A"/>
    <w:multiLevelType w:val="hybridMultilevel"/>
    <w:tmpl w:val="19CADD84"/>
    <w:lvl w:ilvl="0" w:tplc="417CC758">
      <w:start w:val="1"/>
      <w:numFmt w:val="lowerRoman"/>
      <w:lvlText w:val="(%1)"/>
      <w:lvlJc w:val="left"/>
      <w:pPr>
        <w:ind w:left="1347" w:hanging="72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3" w15:restartNumberingAfterBreak="0">
    <w:nsid w:val="475B3203"/>
    <w:multiLevelType w:val="multilevel"/>
    <w:tmpl w:val="6456D22C"/>
    <w:lvl w:ilvl="0">
      <w:start w:val="1"/>
      <w:numFmt w:val="decimal"/>
      <w:lvlText w:val="%1."/>
      <w:lvlJc w:val="left"/>
      <w:pPr>
        <w:ind w:left="360" w:hanging="360"/>
      </w:pPr>
    </w:lvl>
    <w:lvl w:ilvl="1">
      <w:start w:val="1"/>
      <w:numFmt w:val="decimal"/>
      <w:lvlText w:val="%1.%2."/>
      <w:lvlJc w:val="left"/>
      <w:pPr>
        <w:ind w:left="432" w:hanging="432"/>
      </w:pPr>
      <w:rPr>
        <w:b w:val="0"/>
        <w:i w:val="0"/>
      </w:rPr>
    </w:lvl>
    <w:lvl w:ilvl="2">
      <w:start w:val="1"/>
      <w:numFmt w:val="decimal"/>
      <w:lvlText w:val="%1.%2.%3."/>
      <w:lvlJc w:val="left"/>
      <w:pPr>
        <w:ind w:left="1224" w:hanging="504"/>
      </w:pPr>
      <w:rPr>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72AE1y92KGW5CPCpt2LnCXDirkpW+1yQsBHgX+8ev3IqJW/cOkzchdwRr7yb8ItKVs7SL4dKcxXJpnT69qw2ew==" w:salt="bXV1uQ5/QC+qeIz7F5WF8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02"/>
    <w:rsid w:val="0001441D"/>
    <w:rsid w:val="00025D08"/>
    <w:rsid w:val="0003759B"/>
    <w:rsid w:val="00042CBB"/>
    <w:rsid w:val="00080DD1"/>
    <w:rsid w:val="00083E7B"/>
    <w:rsid w:val="000B0A26"/>
    <w:rsid w:val="000C171F"/>
    <w:rsid w:val="000C344F"/>
    <w:rsid w:val="000C408C"/>
    <w:rsid w:val="000D0BFC"/>
    <w:rsid w:val="000E4761"/>
    <w:rsid w:val="00110ADD"/>
    <w:rsid w:val="00111DF5"/>
    <w:rsid w:val="00117CE9"/>
    <w:rsid w:val="00124669"/>
    <w:rsid w:val="0013137F"/>
    <w:rsid w:val="001448CB"/>
    <w:rsid w:val="001573A3"/>
    <w:rsid w:val="001602A8"/>
    <w:rsid w:val="001677B6"/>
    <w:rsid w:val="001C4C48"/>
    <w:rsid w:val="001D1C24"/>
    <w:rsid w:val="001D3FEC"/>
    <w:rsid w:val="001D7CAD"/>
    <w:rsid w:val="001E6FF7"/>
    <w:rsid w:val="001F326B"/>
    <w:rsid w:val="00205496"/>
    <w:rsid w:val="0020565F"/>
    <w:rsid w:val="002135B5"/>
    <w:rsid w:val="00214C6D"/>
    <w:rsid w:val="00214DD4"/>
    <w:rsid w:val="002222A7"/>
    <w:rsid w:val="0022639A"/>
    <w:rsid w:val="0022777C"/>
    <w:rsid w:val="00241CB4"/>
    <w:rsid w:val="00252123"/>
    <w:rsid w:val="00264579"/>
    <w:rsid w:val="00264E34"/>
    <w:rsid w:val="00267E5E"/>
    <w:rsid w:val="002A5E3C"/>
    <w:rsid w:val="002A6D20"/>
    <w:rsid w:val="002B4126"/>
    <w:rsid w:val="002B5A05"/>
    <w:rsid w:val="002D62A5"/>
    <w:rsid w:val="002D7AF2"/>
    <w:rsid w:val="002F783E"/>
    <w:rsid w:val="00311956"/>
    <w:rsid w:val="003130F3"/>
    <w:rsid w:val="00332679"/>
    <w:rsid w:val="003505DA"/>
    <w:rsid w:val="00363E92"/>
    <w:rsid w:val="003B5236"/>
    <w:rsid w:val="003B6074"/>
    <w:rsid w:val="00405C7A"/>
    <w:rsid w:val="00432DBD"/>
    <w:rsid w:val="004442E9"/>
    <w:rsid w:val="004465FE"/>
    <w:rsid w:val="00462370"/>
    <w:rsid w:val="00481AEF"/>
    <w:rsid w:val="004F3D39"/>
    <w:rsid w:val="004F480F"/>
    <w:rsid w:val="004F4C04"/>
    <w:rsid w:val="004F56C4"/>
    <w:rsid w:val="004F56E0"/>
    <w:rsid w:val="00501250"/>
    <w:rsid w:val="00512F02"/>
    <w:rsid w:val="00521A57"/>
    <w:rsid w:val="00531E66"/>
    <w:rsid w:val="005625AD"/>
    <w:rsid w:val="005719F8"/>
    <w:rsid w:val="00591BD8"/>
    <w:rsid w:val="00591C9F"/>
    <w:rsid w:val="005A2AD1"/>
    <w:rsid w:val="005E4704"/>
    <w:rsid w:val="005E6F72"/>
    <w:rsid w:val="005F10F2"/>
    <w:rsid w:val="00602730"/>
    <w:rsid w:val="0061697D"/>
    <w:rsid w:val="00624493"/>
    <w:rsid w:val="00647364"/>
    <w:rsid w:val="006557BF"/>
    <w:rsid w:val="00696130"/>
    <w:rsid w:val="006A59F3"/>
    <w:rsid w:val="006B065E"/>
    <w:rsid w:val="006B372B"/>
    <w:rsid w:val="006D23E8"/>
    <w:rsid w:val="007114F1"/>
    <w:rsid w:val="00721449"/>
    <w:rsid w:val="0072413E"/>
    <w:rsid w:val="00735ADE"/>
    <w:rsid w:val="00770F17"/>
    <w:rsid w:val="00787C5E"/>
    <w:rsid w:val="00787ECC"/>
    <w:rsid w:val="007C1B64"/>
    <w:rsid w:val="007C4134"/>
    <w:rsid w:val="007C447C"/>
    <w:rsid w:val="007D5787"/>
    <w:rsid w:val="007D6A34"/>
    <w:rsid w:val="00803D75"/>
    <w:rsid w:val="008078B4"/>
    <w:rsid w:val="00811AEA"/>
    <w:rsid w:val="0081538B"/>
    <w:rsid w:val="00820DC2"/>
    <w:rsid w:val="00823510"/>
    <w:rsid w:val="00841A82"/>
    <w:rsid w:val="00851D08"/>
    <w:rsid w:val="008620FC"/>
    <w:rsid w:val="00866F3D"/>
    <w:rsid w:val="0087419B"/>
    <w:rsid w:val="008A3FC4"/>
    <w:rsid w:val="008A4E03"/>
    <w:rsid w:val="008B5C52"/>
    <w:rsid w:val="008C4713"/>
    <w:rsid w:val="00912F62"/>
    <w:rsid w:val="0092196B"/>
    <w:rsid w:val="00932945"/>
    <w:rsid w:val="009350F0"/>
    <w:rsid w:val="00950671"/>
    <w:rsid w:val="00955630"/>
    <w:rsid w:val="00970455"/>
    <w:rsid w:val="009755B1"/>
    <w:rsid w:val="0097594A"/>
    <w:rsid w:val="00975C7D"/>
    <w:rsid w:val="00995CB9"/>
    <w:rsid w:val="009A31B5"/>
    <w:rsid w:val="009A62D3"/>
    <w:rsid w:val="009B3117"/>
    <w:rsid w:val="009C78FD"/>
    <w:rsid w:val="009D50BC"/>
    <w:rsid w:val="009F5A81"/>
    <w:rsid w:val="00A008F9"/>
    <w:rsid w:val="00A20114"/>
    <w:rsid w:val="00A33024"/>
    <w:rsid w:val="00A36295"/>
    <w:rsid w:val="00A37297"/>
    <w:rsid w:val="00A408D6"/>
    <w:rsid w:val="00A4377B"/>
    <w:rsid w:val="00A62515"/>
    <w:rsid w:val="00A9142A"/>
    <w:rsid w:val="00A938EE"/>
    <w:rsid w:val="00AC688D"/>
    <w:rsid w:val="00AD0F96"/>
    <w:rsid w:val="00AE62D2"/>
    <w:rsid w:val="00AF12A6"/>
    <w:rsid w:val="00B026BC"/>
    <w:rsid w:val="00B143BD"/>
    <w:rsid w:val="00B34F7F"/>
    <w:rsid w:val="00B451F4"/>
    <w:rsid w:val="00B51ECA"/>
    <w:rsid w:val="00B53463"/>
    <w:rsid w:val="00B551FF"/>
    <w:rsid w:val="00B560D7"/>
    <w:rsid w:val="00B62F30"/>
    <w:rsid w:val="00B6355D"/>
    <w:rsid w:val="00B65C59"/>
    <w:rsid w:val="00B94816"/>
    <w:rsid w:val="00B9639D"/>
    <w:rsid w:val="00BA2E13"/>
    <w:rsid w:val="00BA2E89"/>
    <w:rsid w:val="00BB5A4D"/>
    <w:rsid w:val="00BD2A6D"/>
    <w:rsid w:val="00BD3BAE"/>
    <w:rsid w:val="00BD4B6C"/>
    <w:rsid w:val="00BE2968"/>
    <w:rsid w:val="00BE3F03"/>
    <w:rsid w:val="00BF388E"/>
    <w:rsid w:val="00BF65BC"/>
    <w:rsid w:val="00C0433B"/>
    <w:rsid w:val="00C104AC"/>
    <w:rsid w:val="00C21353"/>
    <w:rsid w:val="00C334ED"/>
    <w:rsid w:val="00C3585F"/>
    <w:rsid w:val="00C35FFB"/>
    <w:rsid w:val="00C3601F"/>
    <w:rsid w:val="00C473CC"/>
    <w:rsid w:val="00C60B2F"/>
    <w:rsid w:val="00C71A2B"/>
    <w:rsid w:val="00C90D49"/>
    <w:rsid w:val="00CB52BA"/>
    <w:rsid w:val="00CC03F7"/>
    <w:rsid w:val="00CC6AB2"/>
    <w:rsid w:val="00CE12E6"/>
    <w:rsid w:val="00CF0EC2"/>
    <w:rsid w:val="00CF1540"/>
    <w:rsid w:val="00D05A43"/>
    <w:rsid w:val="00D12500"/>
    <w:rsid w:val="00D14EDB"/>
    <w:rsid w:val="00D20291"/>
    <w:rsid w:val="00D26988"/>
    <w:rsid w:val="00D35250"/>
    <w:rsid w:val="00D37AD0"/>
    <w:rsid w:val="00D44429"/>
    <w:rsid w:val="00D74FA7"/>
    <w:rsid w:val="00D864D2"/>
    <w:rsid w:val="00DA554D"/>
    <w:rsid w:val="00DA6031"/>
    <w:rsid w:val="00DB5315"/>
    <w:rsid w:val="00DC0C56"/>
    <w:rsid w:val="00DE0B0B"/>
    <w:rsid w:val="00DE1635"/>
    <w:rsid w:val="00DE4D2D"/>
    <w:rsid w:val="00DE5084"/>
    <w:rsid w:val="00DF4515"/>
    <w:rsid w:val="00E04602"/>
    <w:rsid w:val="00E06BD8"/>
    <w:rsid w:val="00E136E6"/>
    <w:rsid w:val="00E36254"/>
    <w:rsid w:val="00E40302"/>
    <w:rsid w:val="00E623FB"/>
    <w:rsid w:val="00E75972"/>
    <w:rsid w:val="00E855F6"/>
    <w:rsid w:val="00E85F12"/>
    <w:rsid w:val="00E86FD8"/>
    <w:rsid w:val="00E87F5B"/>
    <w:rsid w:val="00E946B5"/>
    <w:rsid w:val="00EA74C8"/>
    <w:rsid w:val="00EB03E0"/>
    <w:rsid w:val="00EB1448"/>
    <w:rsid w:val="00EB1CC6"/>
    <w:rsid w:val="00EC43BE"/>
    <w:rsid w:val="00F069A8"/>
    <w:rsid w:val="00F2263E"/>
    <w:rsid w:val="00F22B7C"/>
    <w:rsid w:val="00F31AE9"/>
    <w:rsid w:val="00F63215"/>
    <w:rsid w:val="00F768F4"/>
    <w:rsid w:val="00FA3E02"/>
    <w:rsid w:val="00FB16A5"/>
    <w:rsid w:val="00FB3CD5"/>
    <w:rsid w:val="00FD3D2C"/>
    <w:rsid w:val="00FE5678"/>
    <w:rsid w:val="00FF44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60C94"/>
  <w15:chartTrackingRefBased/>
  <w15:docId w15:val="{0FA1FBE1-6CBD-48A8-A52A-155002CA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302"/>
    <w:pPr>
      <w:spacing w:after="240" w:line="240" w:lineRule="auto"/>
      <w:jc w:val="both"/>
    </w:pPr>
    <w:rPr>
      <w:rFonts w:ascii="Times New Roman" w:eastAsia="SimSun" w:hAnsi="Times New Roman" w:cs="Times New Roman"/>
      <w:sz w:val="24"/>
      <w:szCs w:val="24"/>
      <w:lang w:val="en-GB" w:eastAsia="zh-CN" w:bidi="ar-A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uiPriority w:val="99"/>
    <w:rsid w:val="00E40302"/>
    <w:pPr>
      <w:spacing w:after="0" w:line="240" w:lineRule="auto"/>
      <w:jc w:val="both"/>
    </w:pPr>
    <w:rPr>
      <w:rFonts w:ascii="Times New Roman" w:eastAsia="SimSun" w:hAnsi="Times New Roman" w:cs="Simplified Arabic"/>
      <w:sz w:val="24"/>
      <w:szCs w:val="24"/>
      <w:lang w:val="en-GB" w:eastAsia="zh-CN" w:bidi="ar-AE"/>
    </w:rPr>
  </w:style>
  <w:style w:type="character" w:customStyle="1" w:styleId="EncabezadoCar">
    <w:name w:val="Encabezado Car"/>
    <w:basedOn w:val="Fuentedeprrafopredeter"/>
    <w:link w:val="Encabezado"/>
    <w:uiPriority w:val="99"/>
    <w:rsid w:val="00E40302"/>
    <w:rPr>
      <w:rFonts w:ascii="Times New Roman" w:eastAsia="SimSun" w:hAnsi="Times New Roman" w:cs="Simplified Arabic"/>
      <w:sz w:val="24"/>
      <w:szCs w:val="24"/>
      <w:lang w:val="en-GB" w:eastAsia="zh-CN" w:bidi="ar-AE"/>
    </w:rPr>
  </w:style>
  <w:style w:type="paragraph" w:styleId="Piedepgina">
    <w:name w:val="footer"/>
    <w:link w:val="PiedepginaCar"/>
    <w:rsid w:val="00E40302"/>
    <w:pPr>
      <w:spacing w:after="0" w:line="240" w:lineRule="auto"/>
    </w:pPr>
    <w:rPr>
      <w:rFonts w:ascii="Times New Roman" w:eastAsia="SimSun" w:hAnsi="Times New Roman" w:cs="Times New Roman"/>
      <w:sz w:val="16"/>
      <w:szCs w:val="16"/>
      <w:lang w:val="en-GB" w:eastAsia="zh-CN" w:bidi="ar-AE"/>
    </w:rPr>
  </w:style>
  <w:style w:type="character" w:customStyle="1" w:styleId="PiedepginaCar">
    <w:name w:val="Pie de página Car"/>
    <w:basedOn w:val="Fuentedeprrafopredeter"/>
    <w:link w:val="Piedepgina"/>
    <w:rsid w:val="00E40302"/>
    <w:rPr>
      <w:rFonts w:ascii="Times New Roman" w:eastAsia="SimSun" w:hAnsi="Times New Roman" w:cs="Times New Roman"/>
      <w:sz w:val="16"/>
      <w:szCs w:val="16"/>
      <w:lang w:val="en-GB" w:eastAsia="zh-CN" w:bidi="ar-AE"/>
    </w:rPr>
  </w:style>
  <w:style w:type="paragraph" w:styleId="Textoindependiente">
    <w:name w:val="Body Text"/>
    <w:basedOn w:val="Normal"/>
    <w:link w:val="TextoindependienteCar"/>
    <w:rsid w:val="00E40302"/>
  </w:style>
  <w:style w:type="character" w:customStyle="1" w:styleId="TextoindependienteCar">
    <w:name w:val="Texto independiente Car"/>
    <w:basedOn w:val="Fuentedeprrafopredeter"/>
    <w:link w:val="Textoindependiente"/>
    <w:rsid w:val="00E40302"/>
    <w:rPr>
      <w:rFonts w:ascii="Times New Roman" w:eastAsia="SimSun" w:hAnsi="Times New Roman" w:cs="Times New Roman"/>
      <w:sz w:val="24"/>
      <w:szCs w:val="24"/>
      <w:lang w:val="en-GB" w:eastAsia="zh-CN" w:bidi="ar-AE"/>
    </w:rPr>
  </w:style>
  <w:style w:type="paragraph" w:styleId="Sangradetextonormal">
    <w:name w:val="Body Text Indent"/>
    <w:basedOn w:val="Normal"/>
    <w:link w:val="SangradetextonormalCar"/>
    <w:rsid w:val="00E40302"/>
    <w:pPr>
      <w:spacing w:after="120"/>
      <w:ind w:left="283"/>
    </w:pPr>
  </w:style>
  <w:style w:type="character" w:customStyle="1" w:styleId="SangradetextonormalCar">
    <w:name w:val="Sangría de texto normal Car"/>
    <w:basedOn w:val="Fuentedeprrafopredeter"/>
    <w:link w:val="Sangradetextonormal"/>
    <w:rsid w:val="00E40302"/>
    <w:rPr>
      <w:rFonts w:ascii="Times New Roman" w:eastAsia="SimSun" w:hAnsi="Times New Roman" w:cs="Times New Roman"/>
      <w:sz w:val="24"/>
      <w:szCs w:val="24"/>
      <w:lang w:val="en-GB" w:eastAsia="zh-CN" w:bidi="ar-AE"/>
    </w:rPr>
  </w:style>
  <w:style w:type="paragraph" w:customStyle="1" w:styleId="FooterRight">
    <w:name w:val="Footer Right"/>
    <w:basedOn w:val="Piedepgina"/>
    <w:rsid w:val="00E40302"/>
    <w:pPr>
      <w:jc w:val="right"/>
    </w:pPr>
  </w:style>
  <w:style w:type="paragraph" w:styleId="Textonotapie">
    <w:name w:val="footnote text"/>
    <w:basedOn w:val="Normal"/>
    <w:next w:val="Normal"/>
    <w:link w:val="TextonotapieCar"/>
    <w:rsid w:val="00E40302"/>
    <w:pPr>
      <w:spacing w:after="120"/>
      <w:ind w:left="340" w:hanging="340"/>
    </w:pPr>
    <w:rPr>
      <w:sz w:val="20"/>
      <w:szCs w:val="20"/>
    </w:rPr>
  </w:style>
  <w:style w:type="character" w:customStyle="1" w:styleId="TextonotapieCar">
    <w:name w:val="Texto nota pie Car"/>
    <w:basedOn w:val="Fuentedeprrafopredeter"/>
    <w:link w:val="Textonotapie"/>
    <w:rsid w:val="00E40302"/>
    <w:rPr>
      <w:rFonts w:ascii="Times New Roman" w:eastAsia="SimSun" w:hAnsi="Times New Roman" w:cs="Times New Roman"/>
      <w:sz w:val="20"/>
      <w:szCs w:val="20"/>
      <w:lang w:val="en-GB" w:eastAsia="zh-CN" w:bidi="ar-AE"/>
    </w:rPr>
  </w:style>
  <w:style w:type="character" w:styleId="Refdenotaalpie">
    <w:name w:val="footnote reference"/>
    <w:basedOn w:val="Fuentedeprrafopredeter"/>
    <w:rsid w:val="00E40302"/>
    <w:rPr>
      <w:rFonts w:ascii="Times New Roman" w:eastAsia="SimSun" w:hAnsi="Times New Roman" w:cs="Simplified Arabic"/>
      <w:sz w:val="18"/>
      <w:szCs w:val="18"/>
      <w:vertAlign w:val="superscript"/>
      <w:lang w:bidi="ar-AE"/>
    </w:rPr>
  </w:style>
  <w:style w:type="paragraph" w:styleId="Prrafodelista">
    <w:name w:val="List Paragraph"/>
    <w:basedOn w:val="Normal"/>
    <w:uiPriority w:val="1"/>
    <w:qFormat/>
    <w:rsid w:val="00E40302"/>
    <w:pPr>
      <w:ind w:left="720"/>
      <w:contextualSpacing/>
    </w:pPr>
  </w:style>
  <w:style w:type="character" w:styleId="Nmerodepgina">
    <w:name w:val="page number"/>
    <w:basedOn w:val="Fuentedeprrafopredeter"/>
    <w:rsid w:val="00E40302"/>
    <w:rPr>
      <w:rFonts w:ascii="Times New Roman" w:eastAsia="SimSun" w:hAnsi="Times New Roman" w:cs="Times New Roman"/>
      <w:b w:val="0"/>
      <w:sz w:val="24"/>
      <w:szCs w:val="24"/>
      <w:lang w:bidi="ar-AE"/>
    </w:rPr>
  </w:style>
  <w:style w:type="paragraph" w:customStyle="1" w:styleId="c2">
    <w:name w:val="c2"/>
    <w:basedOn w:val="Normal"/>
    <w:rsid w:val="00E40302"/>
    <w:pPr>
      <w:spacing w:after="0" w:line="240" w:lineRule="atLeast"/>
      <w:jc w:val="center"/>
    </w:pPr>
    <w:rPr>
      <w:rFonts w:ascii="Arial" w:eastAsia="Times New Roman" w:hAnsi="Arial"/>
      <w:szCs w:val="20"/>
      <w:lang w:val="es-ES_tradnl" w:eastAsia="es-ES" w:bidi="ar-SA"/>
    </w:rPr>
  </w:style>
  <w:style w:type="paragraph" w:customStyle="1" w:styleId="p22">
    <w:name w:val="p22"/>
    <w:basedOn w:val="Normal"/>
    <w:rsid w:val="00E40302"/>
    <w:pPr>
      <w:tabs>
        <w:tab w:val="left" w:pos="1500"/>
        <w:tab w:val="left" w:pos="1660"/>
      </w:tabs>
      <w:spacing w:after="0" w:line="280" w:lineRule="atLeast"/>
      <w:ind w:left="288" w:hanging="288"/>
      <w:jc w:val="left"/>
    </w:pPr>
    <w:rPr>
      <w:rFonts w:ascii="Arial" w:eastAsia="Times New Roman" w:hAnsi="Arial"/>
      <w:szCs w:val="20"/>
      <w:lang w:val="es-ES_tradnl" w:eastAsia="es-ES" w:bidi="ar-SA"/>
    </w:rPr>
  </w:style>
  <w:style w:type="paragraph" w:customStyle="1" w:styleId="p7">
    <w:name w:val="p7"/>
    <w:basedOn w:val="Normal"/>
    <w:rsid w:val="00E40302"/>
    <w:pPr>
      <w:tabs>
        <w:tab w:val="left" w:pos="740"/>
        <w:tab w:val="left" w:pos="1280"/>
      </w:tabs>
      <w:spacing w:after="0" w:line="280" w:lineRule="atLeast"/>
      <w:ind w:left="1440" w:firstLine="720"/>
    </w:pPr>
    <w:rPr>
      <w:rFonts w:ascii="Arial" w:eastAsia="Times New Roman" w:hAnsi="Arial"/>
      <w:szCs w:val="20"/>
      <w:lang w:val="es-ES_tradnl" w:eastAsia="es-ES" w:bidi="ar-SA"/>
    </w:rPr>
  </w:style>
  <w:style w:type="paragraph" w:customStyle="1" w:styleId="p4">
    <w:name w:val="p4"/>
    <w:basedOn w:val="Normal"/>
    <w:rsid w:val="00E40302"/>
    <w:pPr>
      <w:tabs>
        <w:tab w:val="left" w:pos="740"/>
      </w:tabs>
      <w:spacing w:after="0" w:line="280" w:lineRule="atLeast"/>
      <w:ind w:left="1440" w:firstLine="720"/>
    </w:pPr>
    <w:rPr>
      <w:rFonts w:ascii="Arial" w:eastAsia="Times New Roman" w:hAnsi="Arial"/>
      <w:szCs w:val="20"/>
      <w:lang w:val="es-ES_tradnl" w:eastAsia="es-ES" w:bidi="ar-SA"/>
    </w:rPr>
  </w:style>
  <w:style w:type="paragraph" w:customStyle="1" w:styleId="Default">
    <w:name w:val="Default"/>
    <w:rsid w:val="00E40302"/>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E40302"/>
    <w:rPr>
      <w:color w:val="0563C1" w:themeColor="hyperlink"/>
      <w:u w:val="single"/>
    </w:rPr>
  </w:style>
  <w:style w:type="paragraph" w:customStyle="1" w:styleId="CM24">
    <w:name w:val="CM24"/>
    <w:basedOn w:val="Normal"/>
    <w:uiPriority w:val="99"/>
    <w:rsid w:val="002135B5"/>
    <w:pPr>
      <w:widowControl w:val="0"/>
      <w:tabs>
        <w:tab w:val="left" w:pos="720"/>
      </w:tabs>
      <w:suppressAutoHyphens/>
      <w:spacing w:after="250" w:line="276" w:lineRule="auto"/>
      <w:jc w:val="left"/>
    </w:pPr>
    <w:rPr>
      <w:rFonts w:eastAsia="Times New Roman"/>
      <w:color w:val="00000A"/>
      <w:lang w:val="es-ES" w:eastAsia="es-ES" w:bidi="ar-SA"/>
    </w:rPr>
  </w:style>
  <w:style w:type="paragraph" w:customStyle="1" w:styleId="CM25">
    <w:name w:val="CM25"/>
    <w:basedOn w:val="Default"/>
    <w:next w:val="Default"/>
    <w:uiPriority w:val="99"/>
    <w:rsid w:val="002135B5"/>
    <w:pPr>
      <w:widowControl w:val="0"/>
      <w:spacing w:after="795"/>
    </w:pPr>
    <w:rPr>
      <w:rFonts w:eastAsia="Times New Roman"/>
      <w:color w:val="auto"/>
      <w:lang w:eastAsia="es-ES"/>
    </w:rPr>
  </w:style>
  <w:style w:type="character" w:styleId="Textodelmarcadordeposicin">
    <w:name w:val="Placeholder Text"/>
    <w:basedOn w:val="Fuentedeprrafopredeter"/>
    <w:uiPriority w:val="99"/>
    <w:semiHidden/>
    <w:rsid w:val="00025D08"/>
    <w:rPr>
      <w:color w:val="808080"/>
    </w:rPr>
  </w:style>
  <w:style w:type="paragraph" w:customStyle="1" w:styleId="AODocTxt">
    <w:name w:val="AODocTxt"/>
    <w:basedOn w:val="Normal"/>
    <w:rsid w:val="00FD3D2C"/>
    <w:pPr>
      <w:spacing w:before="240" w:after="0" w:line="260" w:lineRule="atLeast"/>
    </w:pPr>
    <w:rPr>
      <w:sz w:val="22"/>
      <w:szCs w:val="22"/>
      <w:lang w:eastAsia="en-US" w:bidi="ar-SA"/>
    </w:rPr>
  </w:style>
  <w:style w:type="paragraph" w:styleId="Textodeglobo">
    <w:name w:val="Balloon Text"/>
    <w:basedOn w:val="Normal"/>
    <w:link w:val="TextodegloboCar"/>
    <w:uiPriority w:val="99"/>
    <w:semiHidden/>
    <w:unhideWhenUsed/>
    <w:rsid w:val="001C4C4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C48"/>
    <w:rPr>
      <w:rFonts w:ascii="Segoe UI" w:eastAsia="SimSun" w:hAnsi="Segoe UI" w:cs="Segoe UI"/>
      <w:sz w:val="18"/>
      <w:szCs w:val="18"/>
      <w:lang w:val="en-GB" w:eastAsia="zh-CN" w:bidi="ar-AE"/>
    </w:rPr>
  </w:style>
  <w:style w:type="paragraph" w:customStyle="1" w:styleId="AONormal">
    <w:name w:val="AONormal"/>
    <w:link w:val="AONormalChar"/>
    <w:rsid w:val="00DE4D2D"/>
    <w:pPr>
      <w:spacing w:after="0" w:line="260" w:lineRule="atLeast"/>
    </w:pPr>
    <w:rPr>
      <w:rFonts w:ascii="Times New Roman" w:eastAsia="SimSun" w:hAnsi="Times New Roman" w:cs="Times New Roman"/>
      <w:lang w:val="en-GB"/>
    </w:rPr>
  </w:style>
  <w:style w:type="character" w:customStyle="1" w:styleId="AONormalChar">
    <w:name w:val="AONormal Char"/>
    <w:link w:val="AONormal"/>
    <w:rsid w:val="00DE4D2D"/>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94996">
      <w:bodyDiv w:val="1"/>
      <w:marLeft w:val="0"/>
      <w:marRight w:val="0"/>
      <w:marTop w:val="0"/>
      <w:marBottom w:val="0"/>
      <w:divBdr>
        <w:top w:val="none" w:sz="0" w:space="0" w:color="auto"/>
        <w:left w:val="none" w:sz="0" w:space="0" w:color="auto"/>
        <w:bottom w:val="none" w:sz="0" w:space="0" w:color="auto"/>
        <w:right w:val="none" w:sz="0" w:space="0" w:color="auto"/>
      </w:divBdr>
    </w:div>
    <w:div w:id="494417938">
      <w:bodyDiv w:val="1"/>
      <w:marLeft w:val="0"/>
      <w:marRight w:val="0"/>
      <w:marTop w:val="0"/>
      <w:marBottom w:val="0"/>
      <w:divBdr>
        <w:top w:val="none" w:sz="0" w:space="0" w:color="auto"/>
        <w:left w:val="none" w:sz="0" w:space="0" w:color="auto"/>
        <w:bottom w:val="none" w:sz="0" w:space="0" w:color="auto"/>
        <w:right w:val="none" w:sz="0" w:space="0" w:color="auto"/>
      </w:divBdr>
    </w:div>
    <w:div w:id="563612309">
      <w:bodyDiv w:val="1"/>
      <w:marLeft w:val="0"/>
      <w:marRight w:val="0"/>
      <w:marTop w:val="0"/>
      <w:marBottom w:val="0"/>
      <w:divBdr>
        <w:top w:val="none" w:sz="0" w:space="0" w:color="auto"/>
        <w:left w:val="none" w:sz="0" w:space="0" w:color="auto"/>
        <w:bottom w:val="none" w:sz="0" w:space="0" w:color="auto"/>
        <w:right w:val="none" w:sz="0" w:space="0" w:color="auto"/>
      </w:divBdr>
    </w:div>
    <w:div w:id="587622399">
      <w:bodyDiv w:val="1"/>
      <w:marLeft w:val="0"/>
      <w:marRight w:val="0"/>
      <w:marTop w:val="0"/>
      <w:marBottom w:val="0"/>
      <w:divBdr>
        <w:top w:val="none" w:sz="0" w:space="0" w:color="auto"/>
        <w:left w:val="none" w:sz="0" w:space="0" w:color="auto"/>
        <w:bottom w:val="none" w:sz="0" w:space="0" w:color="auto"/>
        <w:right w:val="none" w:sz="0" w:space="0" w:color="auto"/>
      </w:divBdr>
    </w:div>
    <w:div w:id="1439833493">
      <w:bodyDiv w:val="1"/>
      <w:marLeft w:val="0"/>
      <w:marRight w:val="0"/>
      <w:marTop w:val="0"/>
      <w:marBottom w:val="0"/>
      <w:divBdr>
        <w:top w:val="none" w:sz="0" w:space="0" w:color="auto"/>
        <w:left w:val="none" w:sz="0" w:space="0" w:color="auto"/>
        <w:bottom w:val="none" w:sz="0" w:space="0" w:color="auto"/>
        <w:right w:val="none" w:sz="0" w:space="0" w:color="auto"/>
      </w:divBdr>
    </w:div>
    <w:div w:id="1552767339">
      <w:bodyDiv w:val="1"/>
      <w:marLeft w:val="0"/>
      <w:marRight w:val="0"/>
      <w:marTop w:val="0"/>
      <w:marBottom w:val="0"/>
      <w:divBdr>
        <w:top w:val="none" w:sz="0" w:space="0" w:color="auto"/>
        <w:left w:val="none" w:sz="0" w:space="0" w:color="auto"/>
        <w:bottom w:val="none" w:sz="0" w:space="0" w:color="auto"/>
        <w:right w:val="none" w:sz="0" w:space="0" w:color="auto"/>
      </w:divBdr>
    </w:div>
    <w:div w:id="209966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2732</Words>
  <Characters>15028</Characters>
  <Application>Microsoft Office Word</Application>
  <DocSecurity>8</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keywords/>
  <cp:lastModifiedBy>Susana Olalla</cp:lastModifiedBy>
  <cp:revision>14</cp:revision>
  <dcterms:created xsi:type="dcterms:W3CDTF">2020-07-07T11:13:00Z</dcterms:created>
  <dcterms:modified xsi:type="dcterms:W3CDTF">2020-07-23T07:50:00Z</dcterms:modified>
</cp:coreProperties>
</file>